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590" w:rsidRPr="003E0590" w:rsidRDefault="003E0590" w:rsidP="003E0590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3E0590">
        <w:rPr>
          <w:rFonts w:ascii="PT Astra Serif" w:hAnsi="PT Astra Serif"/>
          <w:sz w:val="26"/>
          <w:szCs w:val="26"/>
        </w:rPr>
        <w:t>24.09.2026</w:t>
      </w:r>
      <w:r w:rsidRPr="003E0590">
        <w:rPr>
          <w:rFonts w:ascii="PT Astra Serif" w:hAnsi="PT Astra Serif"/>
          <w:sz w:val="26"/>
          <w:szCs w:val="26"/>
        </w:rPr>
        <w:tab/>
      </w:r>
      <w:r w:rsidRPr="003E0590">
        <w:rPr>
          <w:rFonts w:ascii="PT Astra Serif" w:hAnsi="PT Astra Serif"/>
          <w:sz w:val="26"/>
          <w:szCs w:val="26"/>
        </w:rPr>
        <w:tab/>
      </w:r>
      <w:r w:rsidRPr="003E0590">
        <w:rPr>
          <w:rFonts w:ascii="PT Astra Serif" w:hAnsi="PT Astra Serif"/>
          <w:sz w:val="26"/>
          <w:szCs w:val="26"/>
        </w:rPr>
        <w:tab/>
      </w:r>
      <w:r w:rsidRPr="003E0590">
        <w:rPr>
          <w:rFonts w:ascii="PT Astra Serif" w:hAnsi="PT Astra Serif"/>
          <w:sz w:val="26"/>
          <w:szCs w:val="26"/>
        </w:rPr>
        <w:tab/>
      </w:r>
      <w:r w:rsidRPr="003E0590">
        <w:rPr>
          <w:rFonts w:ascii="PT Astra Serif" w:hAnsi="PT Astra Serif"/>
          <w:sz w:val="26"/>
          <w:szCs w:val="26"/>
        </w:rPr>
        <w:tab/>
      </w:r>
      <w:r w:rsidRPr="003E0590">
        <w:rPr>
          <w:rFonts w:ascii="PT Astra Serif" w:hAnsi="PT Astra Serif"/>
          <w:sz w:val="26"/>
          <w:szCs w:val="26"/>
        </w:rPr>
        <w:tab/>
      </w:r>
      <w:r w:rsidRPr="003E0590">
        <w:rPr>
          <w:rFonts w:ascii="PT Astra Serif" w:hAnsi="PT Astra Serif"/>
          <w:sz w:val="26"/>
          <w:szCs w:val="26"/>
        </w:rPr>
        <w:tab/>
      </w:r>
      <w:r w:rsidRPr="003E0590">
        <w:rPr>
          <w:rFonts w:ascii="PT Astra Serif" w:hAnsi="PT Astra Serif"/>
          <w:sz w:val="26"/>
          <w:szCs w:val="26"/>
        </w:rPr>
        <w:tab/>
      </w:r>
      <w:r w:rsidRPr="003E0590">
        <w:rPr>
          <w:rFonts w:ascii="PT Astra Serif" w:hAnsi="PT Astra Serif"/>
          <w:sz w:val="26"/>
          <w:szCs w:val="26"/>
        </w:rPr>
        <w:tab/>
      </w:r>
      <w:r w:rsidRPr="003E0590">
        <w:rPr>
          <w:rFonts w:ascii="PT Astra Serif" w:hAnsi="PT Astra Serif"/>
          <w:sz w:val="26"/>
          <w:szCs w:val="26"/>
        </w:rPr>
        <w:tab/>
      </w:r>
      <w:r w:rsidRPr="003E0590">
        <w:rPr>
          <w:rFonts w:ascii="PT Astra Serif" w:hAnsi="PT Astra Serif"/>
          <w:sz w:val="26"/>
          <w:szCs w:val="26"/>
        </w:rPr>
        <w:tab/>
        <w:t>№ 19</w:t>
      </w:r>
      <w:r w:rsidRPr="003E0590">
        <w:rPr>
          <w:rFonts w:ascii="PT Astra Serif" w:hAnsi="PT Astra Serif"/>
          <w:sz w:val="26"/>
          <w:szCs w:val="26"/>
        </w:rPr>
        <w:t>9</w:t>
      </w:r>
      <w:r w:rsidRPr="003E0590">
        <w:rPr>
          <w:rFonts w:ascii="PT Astra Serif" w:hAnsi="PT Astra Serif"/>
          <w:sz w:val="26"/>
          <w:szCs w:val="26"/>
        </w:rPr>
        <w:t>п</w:t>
      </w:r>
    </w:p>
    <w:p w:rsidR="003E0590" w:rsidRPr="003E0590" w:rsidRDefault="003E0590" w:rsidP="003E0590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3E0590" w:rsidRPr="003E0590" w:rsidRDefault="003E0590" w:rsidP="003E0590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B40ABA" w:rsidRDefault="003E0590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 внесении изменений в постановление Администрации </w:t>
      </w:r>
    </w:p>
    <w:p w:rsidR="00B40ABA" w:rsidRDefault="003E0590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Томской области от 02.06.2020 № 260а</w:t>
      </w:r>
    </w:p>
    <w:p w:rsidR="00B40ABA" w:rsidRPr="003E0590" w:rsidRDefault="00B40AB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7"/>
          <w:szCs w:val="27"/>
          <w:lang w:eastAsia="ru-RU"/>
        </w:rPr>
      </w:pPr>
    </w:p>
    <w:p w:rsidR="00B40ABA" w:rsidRPr="003E0590" w:rsidRDefault="00B40AB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7"/>
          <w:szCs w:val="27"/>
          <w:lang w:eastAsia="ru-RU"/>
        </w:rPr>
      </w:pPr>
    </w:p>
    <w:p w:rsidR="00B40ABA" w:rsidRPr="003E0590" w:rsidRDefault="003E0590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 w:val="26"/>
          <w:szCs w:val="26"/>
        </w:rPr>
        <w:br/>
        <w:t xml:space="preserve">2002 года № 9-ОЗ «О нормативных правовых актах Томской области» </w:t>
      </w:r>
    </w:p>
    <w:p w:rsidR="00B40ABA" w:rsidRDefault="003E0590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ПОСТАНОВЛЯЕТ:</w:t>
      </w:r>
      <w:bookmarkStart w:id="0" w:name="_GoBack"/>
      <w:bookmarkEnd w:id="0"/>
    </w:p>
    <w:p w:rsidR="00B40ABA" w:rsidRDefault="003E0590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Внести в </w:t>
      </w:r>
      <w:hyperlink r:id="rId9" w:tooltip="https://login.consultant.ru/link/?req=doc&amp;base=RLAW091&amp;n=175169&amp;date=31.07.2026" w:history="1">
        <w:r>
          <w:rPr>
            <w:rFonts w:ascii="PT Astra Serif" w:hAnsi="PT Astra Serif"/>
            <w:sz w:val="26"/>
            <w:szCs w:val="26"/>
          </w:rPr>
          <w:t>постановление</w:t>
        </w:r>
      </w:hyperlink>
      <w:r>
        <w:rPr>
          <w:rFonts w:ascii="PT Astra Serif" w:hAnsi="PT Astra Serif"/>
          <w:sz w:val="26"/>
          <w:szCs w:val="26"/>
        </w:rPr>
        <w:t xml:space="preserve"> Администрации Томской област</w:t>
      </w:r>
      <w:r>
        <w:rPr>
          <w:rFonts w:ascii="PT Astra Serif" w:hAnsi="PT Astra Serif"/>
          <w:sz w:val="26"/>
          <w:szCs w:val="26"/>
        </w:rPr>
        <w:t>и от 02.06.2020 № 260а «Об утверждении Порядка предоставления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(Собрание законодательства</w:t>
      </w:r>
      <w:r>
        <w:rPr>
          <w:rFonts w:ascii="PT Astra Serif" w:hAnsi="PT Astra Serif"/>
          <w:sz w:val="26"/>
          <w:szCs w:val="26"/>
        </w:rPr>
        <w:t xml:space="preserve"> Томской области, 2020, № 06/1 (244) следующие изменения:</w:t>
      </w:r>
    </w:p>
    <w:p w:rsidR="00B40ABA" w:rsidRDefault="003E0590">
      <w:pPr>
        <w:pStyle w:val="af5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в преамбуле слова «Законом Томской области от 27 декабря 2024 года № 138-ОЗ «Об областном бюджете на 2025 год и на плановый период 2026 </w:t>
      </w:r>
      <w:r>
        <w:rPr>
          <w:rFonts w:ascii="PT Astra Serif" w:hAnsi="PT Astra Serif"/>
          <w:sz w:val="26"/>
          <w:szCs w:val="26"/>
        </w:rPr>
        <w:br/>
        <w:t>и 2027 годов» заменить словами «Законом Томской области от</w:t>
      </w:r>
      <w:r>
        <w:rPr>
          <w:rFonts w:ascii="PT Astra Serif" w:hAnsi="PT Astra Serif"/>
          <w:sz w:val="26"/>
          <w:szCs w:val="26"/>
        </w:rPr>
        <w:t xml:space="preserve"> 29 декабря 2025 года № 165-ОЗ «Об областном бюджете на 2026 год и на плановый период 2027 </w:t>
      </w:r>
      <w:r>
        <w:rPr>
          <w:rFonts w:ascii="PT Astra Serif" w:hAnsi="PT Astra Serif"/>
          <w:sz w:val="26"/>
          <w:szCs w:val="26"/>
        </w:rPr>
        <w:br/>
        <w:t>и 2028 годов»;</w:t>
      </w:r>
    </w:p>
    <w:p w:rsidR="00B40ABA" w:rsidRDefault="003E0590">
      <w:pPr>
        <w:pStyle w:val="af5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дополнить пунктом 1-1 следующего содержания:</w:t>
      </w:r>
    </w:p>
    <w:p w:rsidR="00B40ABA" w:rsidRDefault="003E0590">
      <w:pPr>
        <w:pStyle w:val="af5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«1-1.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Установить, что в 2027 – 2029 годах отбор получателей субсидий в целях возмещения части затрат </w:t>
      </w:r>
      <w:r>
        <w:rPr>
          <w:rFonts w:ascii="PT Astra Serif" w:hAnsi="PT Astra Serif"/>
          <w:sz w:val="26"/>
          <w:szCs w:val="26"/>
        </w:rPr>
        <w:t>в связи с производством (реализацией) товаров, выполнением работ, оказанием услуг в рамках реализации инвестиционных проектов (далее – субсидии) в соответствии с Порядком, утвержденным настоящим постановлением, не проводится.»;</w:t>
      </w:r>
    </w:p>
    <w:p w:rsidR="00B40ABA" w:rsidRDefault="003E0590">
      <w:pPr>
        <w:pStyle w:val="af5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в пункте 4 слова «замести</w:t>
      </w:r>
      <w:r>
        <w:rPr>
          <w:rFonts w:ascii="PT Astra Serif" w:hAnsi="PT Astra Serif"/>
          <w:sz w:val="26"/>
          <w:szCs w:val="26"/>
        </w:rPr>
        <w:t xml:space="preserve">теля Губернатора Томской области </w:t>
      </w:r>
      <w:r>
        <w:rPr>
          <w:rFonts w:ascii="PT Astra Serif" w:hAnsi="PT Astra Serif"/>
          <w:sz w:val="26"/>
          <w:szCs w:val="26"/>
        </w:rPr>
        <w:br/>
        <w:t xml:space="preserve">по промышленности, инвестиционной политике и имущественным отношениям» заменить словами «заместителя Председателя Правительства Томской области </w:t>
      </w:r>
      <w:r>
        <w:rPr>
          <w:rFonts w:ascii="PT Astra Serif" w:hAnsi="PT Astra Serif"/>
          <w:sz w:val="26"/>
          <w:szCs w:val="26"/>
        </w:rPr>
        <w:br/>
        <w:t>(по промышленности, инвестиционной политике и имущественным отношениям)»;</w:t>
      </w:r>
    </w:p>
    <w:p w:rsidR="00B40ABA" w:rsidRDefault="003E0590">
      <w:pPr>
        <w:pStyle w:val="af5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в </w:t>
      </w:r>
      <w:hyperlink r:id="rId10" w:tooltip="https://login.consultant.ru/link/?req=doc&amp;base=RLAW091&amp;n=175169&amp;dst=100011&amp;field=134&amp;date=31.07.2026" w:history="1">
        <w:r>
          <w:rPr>
            <w:rFonts w:ascii="PT Astra Serif" w:hAnsi="PT Astra Serif"/>
            <w:sz w:val="26"/>
            <w:szCs w:val="26"/>
          </w:rPr>
          <w:t>Порядк</w:t>
        </w:r>
      </w:hyperlink>
      <w:r>
        <w:rPr>
          <w:rFonts w:ascii="PT Astra Serif" w:hAnsi="PT Astra Serif"/>
          <w:sz w:val="26"/>
          <w:szCs w:val="26"/>
        </w:rPr>
        <w:t xml:space="preserve">е предоставления субсидий в целях возмещения части затрат </w:t>
      </w:r>
      <w:r>
        <w:rPr>
          <w:rFonts w:ascii="PT Astra Serif" w:hAnsi="PT Astra Serif"/>
          <w:sz w:val="26"/>
          <w:szCs w:val="26"/>
        </w:rPr>
        <w:br/>
        <w:t>в связи с производством (реализацией) товаров, выполнением работ, оказанием услуг в рамках реализации инвестиционных проектов, утвержденном указанным постановлением:</w:t>
      </w:r>
    </w:p>
    <w:p w:rsidR="00B40ABA" w:rsidRDefault="003E0590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 пункт 7 излож</w:t>
      </w:r>
      <w:r>
        <w:rPr>
          <w:rFonts w:ascii="PT Astra Serif" w:hAnsi="PT Astra Serif"/>
          <w:sz w:val="26"/>
          <w:szCs w:val="26"/>
        </w:rPr>
        <w:t>ить в следующей редакции:</w:t>
      </w:r>
    </w:p>
    <w:p w:rsidR="00B40ABA" w:rsidRDefault="003E0590">
      <w:pPr>
        <w:pStyle w:val="af5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«7.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Информация о субсидиях размещается на едином портале бюджетной системы Российской Федерации в информационно-телекоммуникационной сети «Интернет» в разделе «Бюджет» (далее – единый портал) в порядке, установленном Министерством</w:t>
      </w:r>
      <w:r>
        <w:rPr>
          <w:rFonts w:ascii="PT Astra Serif" w:hAnsi="PT Astra Serif"/>
          <w:sz w:val="26"/>
          <w:szCs w:val="26"/>
        </w:rPr>
        <w:t xml:space="preserve"> финансов Российской Федерации, в течение 10 рабочих дней со дня, следующего за днем доведения бюджетных ассигнований на предоставление субсидий до Департамента.»;</w:t>
      </w:r>
    </w:p>
    <w:p w:rsidR="00B40ABA" w:rsidRDefault="003E0590">
      <w:pPr>
        <w:pStyle w:val="af5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б) в подпункте </w:t>
      </w:r>
      <w:r>
        <w:rPr>
          <w:rFonts w:ascii="PT Astra Serif" w:hAnsi="PT Astra Serif"/>
          <w:sz w:val="26"/>
          <w:szCs w:val="26"/>
          <w:highlight w:val="white"/>
        </w:rPr>
        <w:t xml:space="preserve">1) </w:t>
      </w:r>
      <w:r>
        <w:rPr>
          <w:rFonts w:ascii="PT Astra Serif" w:hAnsi="PT Astra Serif"/>
          <w:sz w:val="26"/>
          <w:szCs w:val="26"/>
        </w:rPr>
        <w:t xml:space="preserve">пункта 15 слова «законодательством Российской Федерации» заменить словами </w:t>
      </w:r>
      <w:r>
        <w:rPr>
          <w:rFonts w:ascii="PT Astra Serif" w:hAnsi="PT Astra Serif"/>
          <w:sz w:val="26"/>
          <w:szCs w:val="26"/>
        </w:rPr>
        <w:t>«федеральными законами, отдельными решениями Правительства Российской Федерации и (или) порядком, определенным Правительством Российской Федерации»;</w:t>
      </w:r>
    </w:p>
    <w:p w:rsidR="00B40ABA" w:rsidRDefault="003E0590">
      <w:pPr>
        <w:pStyle w:val="af5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 в пункте 50 слова «расчетный или корреспондентский» исключить;</w:t>
      </w:r>
    </w:p>
    <w:p w:rsidR="00B40ABA" w:rsidRDefault="003E0590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 в абзаце первом пункта 52 слова «в порядке, установленном распоряжением Департамента,» исключить;</w:t>
      </w:r>
    </w:p>
    <w:p w:rsidR="00B40ABA" w:rsidRDefault="003E0590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 пункты 55 – 61 изложить в следующей редакции:</w:t>
      </w:r>
    </w:p>
    <w:p w:rsidR="00B40ABA" w:rsidRDefault="003E0590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«55.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  <w:highlight w:val="white"/>
        </w:rPr>
        <w:t xml:space="preserve"> случае нарушения получателем субсидий порядка предоставления субсидий и (или) одного (нескольких) у</w:t>
      </w:r>
      <w:r>
        <w:rPr>
          <w:rFonts w:ascii="PT Astra Serif" w:hAnsi="PT Astra Serif"/>
          <w:sz w:val="26"/>
          <w:szCs w:val="26"/>
          <w:highlight w:val="white"/>
        </w:rPr>
        <w:t>словий предоставления субсидий, установленных подпунктами 1) – 3), 8), 9) пункта 37 наст</w:t>
      </w:r>
      <w:r>
        <w:rPr>
          <w:rFonts w:ascii="PT Astra Serif" w:hAnsi="PT Astra Serif"/>
          <w:sz w:val="26"/>
          <w:szCs w:val="26"/>
        </w:rPr>
        <w:t xml:space="preserve">оящего Порядка, выявленного в том числе по фактам проверок, проведенных Департаментом </w:t>
      </w:r>
      <w:r>
        <w:rPr>
          <w:rFonts w:ascii="PT Astra Serif" w:hAnsi="PT Astra Serif"/>
          <w:sz w:val="26"/>
          <w:szCs w:val="26"/>
        </w:rPr>
        <w:br/>
        <w:t>и органами государственного финансового контроля, средства субсидии подлежат возв</w:t>
      </w:r>
      <w:r>
        <w:rPr>
          <w:rFonts w:ascii="PT Astra Serif" w:hAnsi="PT Astra Serif"/>
          <w:sz w:val="26"/>
          <w:szCs w:val="26"/>
        </w:rPr>
        <w:t>рату в областной бюджет в полном объеме.</w:t>
      </w:r>
    </w:p>
    <w:p w:rsidR="00B40ABA" w:rsidRDefault="003E0590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56. В случае нарушения получателем субсидий условия, предусмотренного подпунктом 4) пункта 37 настоящего Порядка, выявленного в том числе по фактам проверок, проведенных Департаментом и органами государственного фин</w:t>
      </w:r>
      <w:r>
        <w:rPr>
          <w:rFonts w:ascii="PT Astra Serif" w:hAnsi="PT Astra Serif"/>
          <w:sz w:val="26"/>
          <w:szCs w:val="26"/>
        </w:rPr>
        <w:t>ансового контроля, средства субсидии подлежат возврату в размере установленной суммы переплаты субсидий.</w:t>
      </w:r>
    </w:p>
    <w:p w:rsidR="00B40ABA" w:rsidRDefault="003E0590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57. В случае нарушения получателем субсидий условия, предусмотренного подпунктом 5) пункта 37 настоящего Порядка, предоставление субсидий приостанавлив</w:t>
      </w:r>
      <w:r>
        <w:rPr>
          <w:rFonts w:ascii="PT Astra Serif" w:hAnsi="PT Astra Serif"/>
          <w:sz w:val="26"/>
          <w:szCs w:val="26"/>
        </w:rPr>
        <w:t>ается до даты предоставления получателем субсидий отчетности, установленной пунктом 51 настоящего Порядка. В случае непредоставления получателем субсидий указанной в настоящем пункте отчетности в течение пятнадцати рабочих дней со дня истечения срока, опре</w:t>
      </w:r>
      <w:r>
        <w:rPr>
          <w:rFonts w:ascii="PT Astra Serif" w:hAnsi="PT Astra Serif"/>
          <w:sz w:val="26"/>
          <w:szCs w:val="26"/>
        </w:rPr>
        <w:t>деленного абзацем первым пункта 51 настоящего Порядка, средства субсидии подлежат возврату в областной бюджет в полном объеме.</w:t>
      </w:r>
    </w:p>
    <w:p w:rsidR="00B40ABA" w:rsidRDefault="003E0590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58. В случае нарушения получателем субсидий условия, предусмотренного подпунктом 6) пункта 37 настоящего Порядка, выявленного в т</w:t>
      </w:r>
      <w:r>
        <w:rPr>
          <w:rFonts w:ascii="PT Astra Serif" w:hAnsi="PT Astra Serif"/>
          <w:sz w:val="26"/>
          <w:szCs w:val="26"/>
        </w:rPr>
        <w:t>ом числе по фактам проверок, проведенных Департаментом и органами государственного финансового контроля, средства субсидии подлежат возврату в размере сум</w:t>
      </w:r>
      <w:r>
        <w:rPr>
          <w:rFonts w:ascii="PT Astra Serif" w:hAnsi="PT Astra Serif"/>
          <w:sz w:val="26"/>
          <w:szCs w:val="26"/>
          <w:highlight w:val="white"/>
        </w:rPr>
        <w:t>мы средств суб</w:t>
      </w:r>
      <w:r>
        <w:rPr>
          <w:rFonts w:ascii="PT Astra Serif" w:hAnsi="PT Astra Serif"/>
          <w:sz w:val="26"/>
          <w:szCs w:val="26"/>
        </w:rPr>
        <w:t>сидий, предоставленных получателю в целях возмещения затрат на покупку (лизинг) отчужден</w:t>
      </w:r>
      <w:r>
        <w:rPr>
          <w:rFonts w:ascii="PT Astra Serif" w:hAnsi="PT Astra Serif"/>
          <w:sz w:val="26"/>
          <w:szCs w:val="26"/>
        </w:rPr>
        <w:t>ного имущества.</w:t>
      </w:r>
    </w:p>
    <w:p w:rsidR="00B40ABA" w:rsidRDefault="003E0590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59. В случае нарушения получателем субсидий условия, предусмотренного подпунктом 7) пункта 37 настоящего Порядка, выявленного в том числе по фактам проверок, проведенных Департаментом и органами государственного финансового контроля, средст</w:t>
      </w:r>
      <w:r>
        <w:rPr>
          <w:rFonts w:ascii="PT Astra Serif" w:hAnsi="PT Astra Serif"/>
          <w:sz w:val="26"/>
          <w:szCs w:val="26"/>
        </w:rPr>
        <w:t xml:space="preserve">ва субсидии подлежат возврату в полном объеме, за исключением случаев, установленных пунктами 2) и 3) статьи 13 Закона Томской области </w:t>
      </w:r>
      <w:r>
        <w:rPr>
          <w:rFonts w:ascii="PT Astra Serif" w:hAnsi="PT Astra Serif"/>
          <w:sz w:val="26"/>
          <w:szCs w:val="26"/>
        </w:rPr>
        <w:br/>
        <w:t>от 10 ноября 2025 года № 106-ОЗ «Об инвестиционной политике и государственной поддержке инвестиционной деятельности в То</w:t>
      </w:r>
      <w:r>
        <w:rPr>
          <w:rFonts w:ascii="PT Astra Serif" w:hAnsi="PT Astra Serif"/>
          <w:sz w:val="26"/>
          <w:szCs w:val="26"/>
        </w:rPr>
        <w:t xml:space="preserve">мской области», при которых размер средств субсидий, подлежащих возврату в областной бюджет, рассчитывается </w:t>
      </w:r>
      <w:r>
        <w:rPr>
          <w:rFonts w:ascii="PT Astra Serif" w:hAnsi="PT Astra Serif"/>
          <w:sz w:val="26"/>
          <w:szCs w:val="26"/>
        </w:rPr>
        <w:br/>
        <w:t xml:space="preserve">в соответствии с пунктом 60 настоящего Порядка относительно результатов предоставления субсидий, установленных в Соглашении на 31 декабря года, </w:t>
      </w:r>
      <w:r>
        <w:rPr>
          <w:rFonts w:ascii="PT Astra Serif" w:hAnsi="PT Astra Serif"/>
          <w:sz w:val="26"/>
          <w:szCs w:val="26"/>
        </w:rPr>
        <w:br/>
        <w:t xml:space="preserve">в </w:t>
      </w:r>
      <w:r>
        <w:rPr>
          <w:rFonts w:ascii="PT Astra Serif" w:hAnsi="PT Astra Serif"/>
          <w:sz w:val="26"/>
          <w:szCs w:val="26"/>
        </w:rPr>
        <w:t xml:space="preserve">котором заканчивается срок реализации проекта. В случае, если достижение результатов предоставления субсидий оценить не представляется возможным </w:t>
      </w:r>
      <w:r>
        <w:rPr>
          <w:rFonts w:ascii="PT Astra Serif" w:hAnsi="PT Astra Serif"/>
          <w:sz w:val="26"/>
          <w:szCs w:val="26"/>
        </w:rPr>
        <w:br/>
        <w:t>по причине непредоставления получателем субсидий документов, подтверждающих фактическое достижение результатов</w:t>
      </w:r>
      <w:r>
        <w:rPr>
          <w:rFonts w:ascii="PT Astra Serif" w:hAnsi="PT Astra Serif"/>
          <w:sz w:val="26"/>
          <w:szCs w:val="26"/>
        </w:rPr>
        <w:t xml:space="preserve"> предоставления субсидий, возврату подлежит вся сумма средств полученных субсидий.</w:t>
      </w:r>
    </w:p>
    <w:p w:rsidR="00B40ABA" w:rsidRDefault="003E0590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lastRenderedPageBreak/>
        <w:t>60. В случае недостижения получателем субсидий значений результатов предоставления субсидий, установленных Соглашением, средства субсидий подлежат возврату в областной бюдже</w:t>
      </w:r>
      <w:r>
        <w:rPr>
          <w:rFonts w:ascii="PT Astra Serif" w:hAnsi="PT Astra Serif"/>
          <w:sz w:val="26"/>
          <w:szCs w:val="26"/>
        </w:rPr>
        <w:t>т в объеме, рассчитанном по следующей формуле:</w:t>
      </w:r>
    </w:p>
    <w:p w:rsidR="00B40ABA" w:rsidRDefault="00B40ABA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p w:rsidR="00B40ABA" w:rsidRDefault="003E0590">
      <w:pPr>
        <w:pStyle w:val="11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>V возврата = V субсидий х m / n х (∑ Di) / m, гд</w:t>
      </w:r>
      <w:r>
        <w:rPr>
          <w:rFonts w:ascii="PT Astra Serif" w:hAnsi="PT Astra Serif"/>
          <w:sz w:val="26"/>
          <w:szCs w:val="26"/>
          <w:highlight w:val="white"/>
        </w:rPr>
        <w:t>е:</w:t>
      </w:r>
    </w:p>
    <w:p w:rsidR="00B40ABA" w:rsidRDefault="00B40ABA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40ABA" w:rsidRDefault="003E0590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V возврата – объем средств субсидий, подлежащий возврату в областной бюджет;</w:t>
      </w:r>
    </w:p>
    <w:p w:rsidR="00B40ABA" w:rsidRDefault="003E0590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V субсидий – объем средств субсидий, предоставленный (перечисленный) получателю</w:t>
      </w:r>
      <w:r>
        <w:rPr>
          <w:rFonts w:ascii="PT Astra Serif" w:hAnsi="PT Astra Serif"/>
          <w:sz w:val="26"/>
          <w:szCs w:val="26"/>
        </w:rPr>
        <w:t xml:space="preserve"> субсидий за весь период действия Соглашения;</w:t>
      </w:r>
    </w:p>
    <w:p w:rsidR="00B40ABA" w:rsidRDefault="003E0590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m – количество результатов предоставления субсидий, по которым выявлено недостижение значений;</w:t>
      </w:r>
    </w:p>
    <w:p w:rsidR="00B40ABA" w:rsidRDefault="003E0590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n – общее количество результатов предоставления субсидий по Соглашению;</w:t>
      </w:r>
    </w:p>
    <w:p w:rsidR="00B40ABA" w:rsidRDefault="003E0590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Di – индекс, отражающий уровень отклонения </w:t>
      </w:r>
      <w:r>
        <w:rPr>
          <w:rFonts w:ascii="PT Astra Serif" w:hAnsi="PT Astra Serif"/>
          <w:sz w:val="26"/>
          <w:szCs w:val="26"/>
        </w:rPr>
        <w:t>значения i-го результата предоставления субсидий, рассчитываемый по следующей формуле:</w:t>
      </w:r>
    </w:p>
    <w:p w:rsidR="00B40ABA" w:rsidRDefault="00B40ABA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p w:rsidR="00B40ABA" w:rsidRDefault="003E0590">
      <w:pPr>
        <w:pStyle w:val="11"/>
        <w:spacing w:before="0" w:beforeAutospacing="0" w:after="0" w:afterAutospacing="0"/>
        <w:jc w:val="center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Di = 1 - Ti / Si, где:</w:t>
      </w:r>
    </w:p>
    <w:p w:rsidR="00B40ABA" w:rsidRDefault="00B40ABA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p w:rsidR="00B40ABA" w:rsidRDefault="003E0590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Ti – фактически достигнутое значение i-го результата предоставления субсидий;</w:t>
      </w:r>
    </w:p>
    <w:p w:rsidR="00B40ABA" w:rsidRDefault="003E0590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Si – значение i-го результата предоставления субсидий, установленн</w:t>
      </w:r>
      <w:r>
        <w:rPr>
          <w:rFonts w:ascii="PT Astra Serif" w:hAnsi="PT Astra Serif"/>
          <w:sz w:val="26"/>
          <w:szCs w:val="26"/>
        </w:rPr>
        <w:t xml:space="preserve">ое </w:t>
      </w:r>
      <w:r>
        <w:rPr>
          <w:rFonts w:ascii="PT Astra Serif" w:hAnsi="PT Astra Serif"/>
          <w:sz w:val="26"/>
          <w:szCs w:val="26"/>
        </w:rPr>
        <w:br/>
        <w:t>в Соглашении.</w:t>
      </w:r>
    </w:p>
    <w:p w:rsidR="00B40ABA" w:rsidRDefault="003E0590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При расчете объе</w:t>
      </w:r>
      <w:r>
        <w:rPr>
          <w:rFonts w:ascii="PT Astra Serif" w:hAnsi="PT Astra Serif"/>
          <w:sz w:val="26"/>
          <w:szCs w:val="26"/>
          <w:highlight w:val="white"/>
        </w:rPr>
        <w:t>ма средств с</w:t>
      </w:r>
      <w:r>
        <w:rPr>
          <w:rFonts w:ascii="PT Astra Serif" w:hAnsi="PT Astra Serif"/>
          <w:sz w:val="26"/>
          <w:szCs w:val="26"/>
        </w:rPr>
        <w:t>убсидий, подлежащего возврату в областной бюджет (V возврата), не учитывается индекс, отражающий уровень отклонения значения i-го результата предоставления субсидии (Di), имеющий отрицательное значение.</w:t>
      </w:r>
    </w:p>
    <w:p w:rsidR="00B40ABA" w:rsidRDefault="003E0590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В случа</w:t>
      </w:r>
      <w:r>
        <w:rPr>
          <w:rFonts w:ascii="PT Astra Serif" w:hAnsi="PT Astra Serif"/>
          <w:sz w:val="26"/>
          <w:szCs w:val="26"/>
        </w:rPr>
        <w:t xml:space="preserve">е, если суммарно за весь период действия Соглашения объем средств субсидий, подлежащих возврату, рассчитанный в соответствии с настоящим пунктом, превышает объем средств субсидий, предоставленных (перечисленных) получателю субсидий за весь период действия </w:t>
      </w:r>
      <w:r>
        <w:rPr>
          <w:rFonts w:ascii="PT Astra Serif" w:hAnsi="PT Astra Serif"/>
          <w:sz w:val="26"/>
          <w:szCs w:val="26"/>
        </w:rPr>
        <w:t>Соглашения, то возврату в областной бюджет подлежит объем средств субсидий, равный объему предоставленных (перечисленных) получателю средств субсидий.</w:t>
      </w:r>
    </w:p>
    <w:p w:rsidR="00B40ABA" w:rsidRDefault="003E0590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61. Для возврата средств субсидии в соответствии с пунктами 55 – 60 настоящего Порядка Департамент не поз</w:t>
      </w:r>
      <w:r>
        <w:rPr>
          <w:rFonts w:ascii="PT Astra Serif" w:hAnsi="PT Astra Serif"/>
          <w:sz w:val="26"/>
          <w:szCs w:val="26"/>
        </w:rPr>
        <w:t xml:space="preserve">днее двадцати рабочих дней со дня выявления факта нарушения(ий), указанного(ых) в пунктах 55 – 60 настоящего Порядка (с даты получения Департаментом информации о наличии оснований </w:t>
      </w:r>
      <w:r>
        <w:rPr>
          <w:rFonts w:ascii="PT Astra Serif" w:hAnsi="PT Astra Serif"/>
          <w:sz w:val="26"/>
          <w:szCs w:val="26"/>
        </w:rPr>
        <w:br/>
        <w:t>для прекращения государственной поддержки инвестиционной деятельности, пред</w:t>
      </w:r>
      <w:r>
        <w:rPr>
          <w:rFonts w:ascii="PT Astra Serif" w:hAnsi="PT Astra Serif"/>
          <w:sz w:val="26"/>
          <w:szCs w:val="26"/>
        </w:rPr>
        <w:t xml:space="preserve">усмотренных статьей 13 Закона Томской области от 10 ноября 2025 года </w:t>
      </w:r>
      <w:r>
        <w:rPr>
          <w:rFonts w:ascii="PT Astra Serif" w:hAnsi="PT Astra Serif"/>
          <w:sz w:val="26"/>
          <w:szCs w:val="26"/>
        </w:rPr>
        <w:br/>
        <w:t>№ 106-ОЗ «Об инвестиционной политике и государственной поддержке инвестиционной деятельности в Томской области»), направляет в адрес получателя субсидии (вручает уполномоченному представ</w:t>
      </w:r>
      <w:r>
        <w:rPr>
          <w:rFonts w:ascii="PT Astra Serif" w:hAnsi="PT Astra Serif"/>
          <w:sz w:val="26"/>
          <w:szCs w:val="26"/>
        </w:rPr>
        <w:t>ителю получателя субсидии) письменное уведомление о возврате средств субсидии.</w:t>
      </w:r>
    </w:p>
    <w:p w:rsidR="00B40ABA" w:rsidRDefault="003E0590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В срок не позднее десяти рабочих дней со дня получения письменного уведомления о возврате средств субсидий получатель субсидий осуществляет возврат </w:t>
      </w:r>
      <w:r>
        <w:rPr>
          <w:rFonts w:ascii="PT Astra Serif" w:hAnsi="PT Astra Serif"/>
          <w:sz w:val="26"/>
          <w:szCs w:val="26"/>
        </w:rPr>
        <w:t xml:space="preserve">средств субсидий в областной бюджет по платежным реквизитам, указанным </w:t>
      </w:r>
      <w:r>
        <w:rPr>
          <w:rFonts w:ascii="PT Astra Serif" w:hAnsi="PT Astra Serif"/>
          <w:sz w:val="26"/>
          <w:szCs w:val="26"/>
        </w:rPr>
        <w:br/>
        <w:t>в уведомлении, или направляет в адрес Департамента ответ с мотивированным отказом от возврата средств субсидий.</w:t>
      </w:r>
    </w:p>
    <w:p w:rsidR="00B40ABA" w:rsidRDefault="003E0590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В случае получения от получателя субсидий ответа с мотивированным отказо</w:t>
      </w:r>
      <w:r>
        <w:rPr>
          <w:rFonts w:ascii="PT Astra Serif" w:hAnsi="PT Astra Serif"/>
          <w:sz w:val="26"/>
          <w:szCs w:val="26"/>
        </w:rPr>
        <w:t xml:space="preserve">м от возврата средств субсидий Департамент принимает меры для взыскания средств </w:t>
      </w:r>
      <w:r>
        <w:rPr>
          <w:rFonts w:ascii="PT Astra Serif" w:hAnsi="PT Astra Serif"/>
          <w:sz w:val="26"/>
          <w:szCs w:val="26"/>
        </w:rPr>
        <w:lastRenderedPageBreak/>
        <w:t xml:space="preserve">субсидий в судебном порядке в соответствии с действующим законодательством </w:t>
      </w:r>
      <w:r>
        <w:rPr>
          <w:rFonts w:ascii="PT Astra Serif" w:hAnsi="PT Astra Serif"/>
          <w:sz w:val="26"/>
          <w:szCs w:val="26"/>
        </w:rPr>
        <w:br/>
        <w:t>в течение двух месяцев со дня получения Департаментом ответа с мотивированным отказом от возврата ср</w:t>
      </w:r>
      <w:r>
        <w:rPr>
          <w:rFonts w:ascii="PT Astra Serif" w:hAnsi="PT Astra Serif"/>
          <w:sz w:val="26"/>
          <w:szCs w:val="26"/>
        </w:rPr>
        <w:t>едств субсидий.</w:t>
      </w:r>
    </w:p>
    <w:p w:rsidR="00B40ABA" w:rsidRDefault="003E0590">
      <w:pPr>
        <w:pStyle w:val="1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неполучения от получателя субсидий возврата средств субсидий Департамент принимает меры для взыскания средств субсидий в судебном порядке </w:t>
      </w:r>
      <w:r>
        <w:rPr>
          <w:rFonts w:ascii="PT Astra Serif" w:hAnsi="PT Astra Serif"/>
          <w:sz w:val="26"/>
          <w:szCs w:val="26"/>
        </w:rPr>
        <w:br/>
        <w:t>в соответствии с действующим законодательством в течение трех месяцев со дня направления в а</w:t>
      </w:r>
      <w:r>
        <w:rPr>
          <w:rFonts w:ascii="PT Astra Serif" w:hAnsi="PT Astra Serif"/>
          <w:sz w:val="26"/>
          <w:szCs w:val="26"/>
        </w:rPr>
        <w:t>дрес получателя субсидий (вручения уполномоченному представителю получателя субсидий) письменного уведомления о возврате средств субсидий.».</w:t>
      </w:r>
    </w:p>
    <w:p w:rsidR="00B40ABA" w:rsidRDefault="003E0590">
      <w:pPr>
        <w:pStyle w:val="af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Настоящее постановление вступает в силу со дня его официального опубликования.</w:t>
      </w:r>
    </w:p>
    <w:p w:rsidR="00B40ABA" w:rsidRDefault="00B40ABA">
      <w:pPr>
        <w:pStyle w:val="af5"/>
        <w:spacing w:before="60" w:beforeAutospacing="0" w:after="0" w:afterAutospacing="0"/>
        <w:ind w:firstLine="539"/>
        <w:jc w:val="both"/>
        <w:rPr>
          <w:rFonts w:ascii="PT Astra Serif" w:hAnsi="PT Astra Serif"/>
          <w:sz w:val="26"/>
          <w:szCs w:val="26"/>
        </w:rPr>
      </w:pPr>
    </w:p>
    <w:p w:rsidR="00B40ABA" w:rsidRDefault="00B40ABA">
      <w:pPr>
        <w:pStyle w:val="af5"/>
        <w:spacing w:before="60" w:beforeAutospacing="0" w:after="0" w:afterAutospacing="0"/>
        <w:ind w:firstLine="539"/>
        <w:jc w:val="both"/>
        <w:rPr>
          <w:rFonts w:ascii="PT Astra Serif" w:hAnsi="PT Astra Serif"/>
          <w:sz w:val="26"/>
          <w:szCs w:val="26"/>
        </w:rPr>
      </w:pPr>
    </w:p>
    <w:p w:rsidR="00B40ABA" w:rsidRPr="003E0590" w:rsidRDefault="00B40ABA">
      <w:pPr>
        <w:pStyle w:val="af5"/>
        <w:spacing w:before="60" w:beforeAutospacing="0" w:after="0" w:afterAutospacing="0"/>
        <w:ind w:firstLine="539"/>
        <w:jc w:val="both"/>
        <w:rPr>
          <w:rFonts w:ascii="PT Astra Serif" w:hAnsi="PT Astra Serif"/>
          <w:sz w:val="26"/>
          <w:szCs w:val="26"/>
        </w:rPr>
      </w:pPr>
    </w:p>
    <w:p w:rsidR="00B40ABA" w:rsidRDefault="003E0590">
      <w:pPr>
        <w:pStyle w:val="af5"/>
        <w:spacing w:before="6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Председатель Правительства </w:t>
      </w:r>
    </w:p>
    <w:p w:rsidR="00B40ABA" w:rsidRDefault="003E0590">
      <w:pPr>
        <w:pStyle w:val="af5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А.В.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Кондратьев</w:t>
      </w: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B40ABA">
      <w:pPr>
        <w:pStyle w:val="32"/>
        <w:spacing w:before="0"/>
        <w:rPr>
          <w:rFonts w:ascii="PT Astra Serif" w:hAnsi="PT Astra Serif"/>
          <w:sz w:val="20"/>
        </w:rPr>
      </w:pPr>
    </w:p>
    <w:p w:rsidR="00B40ABA" w:rsidRDefault="003E0590">
      <w:pPr>
        <w:pStyle w:val="32"/>
        <w:spacing w:befor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Бородулин Г.А.</w:t>
      </w:r>
    </w:p>
    <w:p w:rsidR="00B40ABA" w:rsidRDefault="003E0590">
      <w:pPr>
        <w:pStyle w:val="32"/>
        <w:spacing w:befor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0921</w:t>
      </w:r>
      <w:r>
        <w:rPr>
          <w:rFonts w:ascii="PT Astra Serif" w:hAnsi="PT Astra Serif"/>
          <w:sz w:val="20"/>
          <w:lang w:val="en-US"/>
        </w:rPr>
        <w:t>es</w:t>
      </w:r>
      <w:r>
        <w:rPr>
          <w:rFonts w:ascii="PT Astra Serif" w:hAnsi="PT Astra Serif"/>
          <w:sz w:val="20"/>
        </w:rPr>
        <w:t>02.</w:t>
      </w:r>
      <w:r>
        <w:rPr>
          <w:rFonts w:ascii="PT Astra Serif" w:hAnsi="PT Astra Serif"/>
          <w:sz w:val="20"/>
          <w:lang w:val="en-US"/>
        </w:rPr>
        <w:t>pp</w:t>
      </w:r>
      <w:r>
        <w:rPr>
          <w:rFonts w:ascii="PT Astra Serif" w:hAnsi="PT Astra Serif"/>
          <w:sz w:val="20"/>
        </w:rPr>
        <w:t>2026</w:t>
      </w:r>
    </w:p>
    <w:sectPr w:rsidR="00B40ABA">
      <w:headerReference w:type="default" r:id="rId11"/>
      <w:headerReference w:type="first" r:id="rId12"/>
      <w:pgSz w:w="11906" w:h="16838"/>
      <w:pgMar w:top="964" w:right="851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ABA" w:rsidRDefault="003E0590">
      <w:pPr>
        <w:spacing w:after="0" w:line="240" w:lineRule="auto"/>
      </w:pPr>
      <w:r>
        <w:separator/>
      </w:r>
    </w:p>
  </w:endnote>
  <w:endnote w:type="continuationSeparator" w:id="0">
    <w:p w:rsidR="00B40ABA" w:rsidRDefault="003E0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ABA" w:rsidRDefault="003E0590">
      <w:pPr>
        <w:spacing w:after="0" w:line="240" w:lineRule="auto"/>
      </w:pPr>
      <w:r>
        <w:separator/>
      </w:r>
    </w:p>
  </w:footnote>
  <w:footnote w:type="continuationSeparator" w:id="0">
    <w:p w:rsidR="00B40ABA" w:rsidRDefault="003E0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1132791009"/>
      <w:docPartObj>
        <w:docPartGallery w:val="Page Numbers (Top of Page)"/>
        <w:docPartUnique/>
      </w:docPartObj>
    </w:sdtPr>
    <w:sdtEndPr/>
    <w:sdtContent>
      <w:p w:rsidR="00B40ABA" w:rsidRDefault="003E0590">
        <w:pPr>
          <w:pStyle w:val="aff3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4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B40ABA" w:rsidRDefault="00B40ABA">
    <w:pPr>
      <w:pStyle w:val="aff3"/>
      <w:rPr>
        <w:rFonts w:ascii="PT Astra Serif" w:hAnsi="PT Astra Serif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ABA" w:rsidRDefault="003E0590">
    <w:pPr>
      <w:spacing w:after="120" w:line="240" w:lineRule="auto"/>
      <w:rPr>
        <w:rFonts w:ascii="PT Astra Serif" w:eastAsia="Times New Roman" w:hAnsi="PT Astra Serif" w:cs="Times New Roman"/>
        <w:b/>
        <w:sz w:val="26"/>
        <w:szCs w:val="20"/>
      </w:rPr>
    </w:pPr>
    <w:r>
      <w:rPr>
        <w:rFonts w:ascii="PT Astra Serif" w:eastAsia="Times New Roman" w:hAnsi="PT Astra Serif" w:cs="Times New Roman"/>
        <w:noProof/>
        <w:sz w:val="26"/>
        <w:szCs w:val="20"/>
        <w:lang w:eastAsia="ru-RU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16280" cy="655320"/>
              <wp:effectExtent l="0" t="0" r="7620" b="0"/>
              <wp:wrapSquare wrapText="bothSides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 1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6280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</wp:anchor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251659264;o:allowoverlap:true;o:allowincell:true;mso-position-horizontal-relative:margin;mso-position-horizontal:center;mso-position-vertical-relative:text;margin-top:0.00pt;mso-position-vertical:absolute;width:56.40pt;height:51.60pt;mso-wrap-distance-left:9.00pt;mso-wrap-distance-top:0.00pt;mso-wrap-distance-right:9.00pt;mso-wrap-distance-bottom:0.00pt;z-index:1;" stroked="f">
              <w10:wrap type="square"/>
              <v:imagedata r:id="rId2" o:title=""/>
              <o:lock v:ext="edit" rotation="t"/>
            </v:shape>
          </w:pict>
        </mc:Fallback>
      </mc:AlternateContent>
    </w:r>
  </w:p>
  <w:p w:rsidR="00B40ABA" w:rsidRDefault="00B40ABA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 w:cs="Times New Roman"/>
        <w:b/>
        <w:bCs/>
        <w:sz w:val="30"/>
        <w:szCs w:val="30"/>
        <w:lang w:eastAsia="ru-RU"/>
      </w:rPr>
    </w:pPr>
  </w:p>
  <w:p w:rsidR="00B40ABA" w:rsidRDefault="00B40ABA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 w:cs="Times New Roman"/>
        <w:b/>
        <w:bCs/>
        <w:sz w:val="30"/>
        <w:szCs w:val="30"/>
        <w:lang w:eastAsia="ru-RU"/>
      </w:rPr>
    </w:pPr>
  </w:p>
  <w:p w:rsidR="00B40ABA" w:rsidRDefault="003E0590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 w:cs="Times New Roman"/>
        <w:b/>
        <w:bCs/>
        <w:sz w:val="30"/>
        <w:szCs w:val="30"/>
        <w:lang w:eastAsia="ru-RU"/>
      </w:rPr>
    </w:pPr>
    <w:r>
      <w:rPr>
        <w:rFonts w:ascii="PT Astra Serif" w:eastAsia="Times New Roman" w:hAnsi="PT Astra Serif" w:cs="Times New Roman"/>
        <w:b/>
        <w:sz w:val="30"/>
        <w:szCs w:val="30"/>
        <w:lang w:eastAsia="ru-RU"/>
      </w:rPr>
      <w:t>ПРАВИТЕЛЬСТВО</w:t>
    </w:r>
    <w:r>
      <w:rPr>
        <w:rFonts w:ascii="PT Astra Serif" w:eastAsia="Times New Roman" w:hAnsi="PT Astra Serif" w:cs="Times New Roman"/>
        <w:b/>
        <w:caps/>
        <w:sz w:val="30"/>
        <w:szCs w:val="30"/>
        <w:lang w:eastAsia="ru-RU"/>
      </w:rPr>
      <w:t xml:space="preserve"> </w:t>
    </w:r>
    <w:r>
      <w:rPr>
        <w:rFonts w:ascii="PT Astra Serif" w:eastAsia="Times New Roman" w:hAnsi="PT Astra Serif" w:cs="Times New Roman"/>
        <w:b/>
        <w:sz w:val="30"/>
        <w:szCs w:val="30"/>
        <w:lang w:eastAsia="ru-RU"/>
      </w:rPr>
      <w:t>ТОМСКОЙ ОБЛАСТИ</w:t>
    </w:r>
  </w:p>
  <w:p w:rsidR="00B40ABA" w:rsidRDefault="003E0590">
    <w:pPr>
      <w:tabs>
        <w:tab w:val="center" w:pos="4153"/>
        <w:tab w:val="right" w:pos="8306"/>
      </w:tabs>
      <w:spacing w:before="240" w:after="0" w:line="240" w:lineRule="auto"/>
      <w:jc w:val="center"/>
      <w:rPr>
        <w:rFonts w:ascii="PT Astra Serif" w:eastAsia="Times New Roman" w:hAnsi="PT Astra Serif" w:cs="Times New Roman"/>
        <w:b/>
        <w:spacing w:val="20"/>
        <w:sz w:val="28"/>
        <w:szCs w:val="28"/>
        <w:lang w:eastAsia="ru-RU"/>
      </w:rPr>
    </w:pPr>
    <w:r>
      <w:rPr>
        <w:rFonts w:ascii="PT Astra Serif" w:eastAsia="Times New Roman" w:hAnsi="PT Astra Serif" w:cs="Times New Roman"/>
        <w:b/>
        <w:spacing w:val="20"/>
        <w:sz w:val="28"/>
        <w:szCs w:val="28"/>
        <w:lang w:eastAsia="ru-RU"/>
      </w:rPr>
      <w:t>ПОСТАНОВЛЕНИЕ</w:t>
    </w:r>
  </w:p>
  <w:p w:rsidR="00B40ABA" w:rsidRDefault="00B40ABA">
    <w:pPr>
      <w:pStyle w:val="aff3"/>
      <w:rPr>
        <w:sz w:val="24"/>
        <w:szCs w:val="24"/>
        <w:lang w:val="en-US"/>
      </w:rPr>
    </w:pPr>
  </w:p>
  <w:p w:rsidR="00B40ABA" w:rsidRDefault="00B40ABA">
    <w:pPr>
      <w:pStyle w:val="aff3"/>
      <w:rPr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6540F"/>
    <w:multiLevelType w:val="hybridMultilevel"/>
    <w:tmpl w:val="39DC0F48"/>
    <w:lvl w:ilvl="0" w:tplc="90CC5FEE">
      <w:start w:val="1"/>
      <w:numFmt w:val="decimal"/>
      <w:lvlText w:val="%1)"/>
      <w:lvlJc w:val="left"/>
    </w:lvl>
    <w:lvl w:ilvl="1" w:tplc="813082A0">
      <w:start w:val="1"/>
      <w:numFmt w:val="lowerLetter"/>
      <w:lvlText w:val="%2."/>
      <w:lvlJc w:val="left"/>
      <w:pPr>
        <w:ind w:left="1440" w:hanging="360"/>
      </w:pPr>
    </w:lvl>
    <w:lvl w:ilvl="2" w:tplc="D3167746">
      <w:start w:val="1"/>
      <w:numFmt w:val="lowerRoman"/>
      <w:lvlText w:val="%3."/>
      <w:lvlJc w:val="right"/>
      <w:pPr>
        <w:ind w:left="2160" w:hanging="180"/>
      </w:pPr>
    </w:lvl>
    <w:lvl w:ilvl="3" w:tplc="5B764A72">
      <w:start w:val="1"/>
      <w:numFmt w:val="decimal"/>
      <w:lvlText w:val="%4."/>
      <w:lvlJc w:val="left"/>
      <w:pPr>
        <w:ind w:left="2880" w:hanging="360"/>
      </w:pPr>
    </w:lvl>
    <w:lvl w:ilvl="4" w:tplc="6644C4E4">
      <w:start w:val="1"/>
      <w:numFmt w:val="lowerLetter"/>
      <w:lvlText w:val="%5."/>
      <w:lvlJc w:val="left"/>
      <w:pPr>
        <w:ind w:left="3600" w:hanging="360"/>
      </w:pPr>
    </w:lvl>
    <w:lvl w:ilvl="5" w:tplc="0C52EEFE">
      <w:start w:val="1"/>
      <w:numFmt w:val="lowerRoman"/>
      <w:lvlText w:val="%6."/>
      <w:lvlJc w:val="right"/>
      <w:pPr>
        <w:ind w:left="4320" w:hanging="180"/>
      </w:pPr>
    </w:lvl>
    <w:lvl w:ilvl="6" w:tplc="3AC63DBE">
      <w:start w:val="1"/>
      <w:numFmt w:val="decimal"/>
      <w:lvlText w:val="%7."/>
      <w:lvlJc w:val="left"/>
      <w:pPr>
        <w:ind w:left="5040" w:hanging="360"/>
      </w:pPr>
    </w:lvl>
    <w:lvl w:ilvl="7" w:tplc="211EC1BA">
      <w:start w:val="1"/>
      <w:numFmt w:val="lowerLetter"/>
      <w:lvlText w:val="%8."/>
      <w:lvlJc w:val="left"/>
      <w:pPr>
        <w:ind w:left="5760" w:hanging="360"/>
      </w:pPr>
    </w:lvl>
    <w:lvl w:ilvl="8" w:tplc="7876E5A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977174"/>
    <w:multiLevelType w:val="hybridMultilevel"/>
    <w:tmpl w:val="922E7B60"/>
    <w:lvl w:ilvl="0" w:tplc="8676ED6A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B374198A">
      <w:start w:val="1"/>
      <w:numFmt w:val="lowerLetter"/>
      <w:lvlText w:val="%2."/>
      <w:lvlJc w:val="left"/>
      <w:pPr>
        <w:ind w:left="1619" w:hanging="360"/>
      </w:pPr>
    </w:lvl>
    <w:lvl w:ilvl="2" w:tplc="082A6CE8">
      <w:start w:val="1"/>
      <w:numFmt w:val="lowerRoman"/>
      <w:lvlText w:val="%3."/>
      <w:lvlJc w:val="right"/>
      <w:pPr>
        <w:ind w:left="2339" w:hanging="180"/>
      </w:pPr>
    </w:lvl>
    <w:lvl w:ilvl="3" w:tplc="98A69EFC">
      <w:start w:val="1"/>
      <w:numFmt w:val="decimal"/>
      <w:lvlText w:val="%4."/>
      <w:lvlJc w:val="left"/>
      <w:pPr>
        <w:ind w:left="3059" w:hanging="360"/>
      </w:pPr>
    </w:lvl>
    <w:lvl w:ilvl="4" w:tplc="B4800514">
      <w:start w:val="1"/>
      <w:numFmt w:val="lowerLetter"/>
      <w:lvlText w:val="%5."/>
      <w:lvlJc w:val="left"/>
      <w:pPr>
        <w:ind w:left="3779" w:hanging="360"/>
      </w:pPr>
    </w:lvl>
    <w:lvl w:ilvl="5" w:tplc="46FA6612">
      <w:start w:val="1"/>
      <w:numFmt w:val="lowerRoman"/>
      <w:lvlText w:val="%6."/>
      <w:lvlJc w:val="right"/>
      <w:pPr>
        <w:ind w:left="4499" w:hanging="180"/>
      </w:pPr>
    </w:lvl>
    <w:lvl w:ilvl="6" w:tplc="5B9A85BC">
      <w:start w:val="1"/>
      <w:numFmt w:val="decimal"/>
      <w:lvlText w:val="%7."/>
      <w:lvlJc w:val="left"/>
      <w:pPr>
        <w:ind w:left="5219" w:hanging="360"/>
      </w:pPr>
    </w:lvl>
    <w:lvl w:ilvl="7" w:tplc="18AAB5D8">
      <w:start w:val="1"/>
      <w:numFmt w:val="lowerLetter"/>
      <w:lvlText w:val="%8."/>
      <w:lvlJc w:val="left"/>
      <w:pPr>
        <w:ind w:left="5939" w:hanging="360"/>
      </w:pPr>
    </w:lvl>
    <w:lvl w:ilvl="8" w:tplc="A2D67756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4A9E6280"/>
    <w:multiLevelType w:val="hybridMultilevel"/>
    <w:tmpl w:val="11D2EE94"/>
    <w:lvl w:ilvl="0" w:tplc="4DDC40A6">
      <w:start w:val="1"/>
      <w:numFmt w:val="decimal"/>
      <w:lvlText w:val="%1."/>
      <w:lvlJc w:val="left"/>
    </w:lvl>
    <w:lvl w:ilvl="1" w:tplc="8AE4DC7E">
      <w:start w:val="1"/>
      <w:numFmt w:val="lowerLetter"/>
      <w:lvlText w:val="%2."/>
      <w:lvlJc w:val="left"/>
      <w:pPr>
        <w:ind w:left="1440" w:hanging="360"/>
      </w:pPr>
    </w:lvl>
    <w:lvl w:ilvl="2" w:tplc="4F8E71E6">
      <w:start w:val="1"/>
      <w:numFmt w:val="lowerRoman"/>
      <w:lvlText w:val="%3."/>
      <w:lvlJc w:val="right"/>
      <w:pPr>
        <w:ind w:left="2160" w:hanging="180"/>
      </w:pPr>
    </w:lvl>
    <w:lvl w:ilvl="3" w:tplc="F8580B66">
      <w:start w:val="1"/>
      <w:numFmt w:val="decimal"/>
      <w:lvlText w:val="%4."/>
      <w:lvlJc w:val="left"/>
      <w:pPr>
        <w:ind w:left="2880" w:hanging="360"/>
      </w:pPr>
    </w:lvl>
    <w:lvl w:ilvl="4" w:tplc="85CA3AA8">
      <w:start w:val="1"/>
      <w:numFmt w:val="lowerLetter"/>
      <w:lvlText w:val="%5."/>
      <w:lvlJc w:val="left"/>
      <w:pPr>
        <w:ind w:left="3600" w:hanging="360"/>
      </w:pPr>
    </w:lvl>
    <w:lvl w:ilvl="5" w:tplc="A22AA738">
      <w:start w:val="1"/>
      <w:numFmt w:val="lowerRoman"/>
      <w:lvlText w:val="%6."/>
      <w:lvlJc w:val="right"/>
      <w:pPr>
        <w:ind w:left="4320" w:hanging="180"/>
      </w:pPr>
    </w:lvl>
    <w:lvl w:ilvl="6" w:tplc="8076B15A">
      <w:start w:val="1"/>
      <w:numFmt w:val="decimal"/>
      <w:lvlText w:val="%7."/>
      <w:lvlJc w:val="left"/>
      <w:pPr>
        <w:ind w:left="5040" w:hanging="360"/>
      </w:pPr>
    </w:lvl>
    <w:lvl w:ilvl="7" w:tplc="4AAACB32">
      <w:start w:val="1"/>
      <w:numFmt w:val="lowerLetter"/>
      <w:lvlText w:val="%8."/>
      <w:lvlJc w:val="left"/>
      <w:pPr>
        <w:ind w:left="5760" w:hanging="360"/>
      </w:pPr>
    </w:lvl>
    <w:lvl w:ilvl="8" w:tplc="C868D33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42D12"/>
    <w:multiLevelType w:val="hybridMultilevel"/>
    <w:tmpl w:val="784C9B14"/>
    <w:lvl w:ilvl="0" w:tplc="D8B4F1A8">
      <w:start w:val="1"/>
      <w:numFmt w:val="decimal"/>
      <w:lvlText w:val="%1)"/>
      <w:lvlJc w:val="left"/>
    </w:lvl>
    <w:lvl w:ilvl="1" w:tplc="4C305D32">
      <w:start w:val="1"/>
      <w:numFmt w:val="lowerLetter"/>
      <w:lvlText w:val="%2."/>
      <w:lvlJc w:val="left"/>
      <w:pPr>
        <w:ind w:left="1440" w:hanging="360"/>
      </w:pPr>
    </w:lvl>
    <w:lvl w:ilvl="2" w:tplc="D8D04F20">
      <w:start w:val="1"/>
      <w:numFmt w:val="lowerRoman"/>
      <w:lvlText w:val="%3."/>
      <w:lvlJc w:val="right"/>
      <w:pPr>
        <w:ind w:left="2160" w:hanging="180"/>
      </w:pPr>
    </w:lvl>
    <w:lvl w:ilvl="3" w:tplc="F86A7D64">
      <w:start w:val="1"/>
      <w:numFmt w:val="decimal"/>
      <w:lvlText w:val="%4."/>
      <w:lvlJc w:val="left"/>
      <w:pPr>
        <w:ind w:left="2880" w:hanging="360"/>
      </w:pPr>
    </w:lvl>
    <w:lvl w:ilvl="4" w:tplc="CA64D596">
      <w:start w:val="1"/>
      <w:numFmt w:val="lowerLetter"/>
      <w:lvlText w:val="%5."/>
      <w:lvlJc w:val="left"/>
      <w:pPr>
        <w:ind w:left="3600" w:hanging="360"/>
      </w:pPr>
    </w:lvl>
    <w:lvl w:ilvl="5" w:tplc="932ED032">
      <w:start w:val="1"/>
      <w:numFmt w:val="lowerRoman"/>
      <w:lvlText w:val="%6."/>
      <w:lvlJc w:val="right"/>
      <w:pPr>
        <w:ind w:left="4320" w:hanging="180"/>
      </w:pPr>
    </w:lvl>
    <w:lvl w:ilvl="6" w:tplc="922C0DBC">
      <w:start w:val="1"/>
      <w:numFmt w:val="decimal"/>
      <w:lvlText w:val="%7."/>
      <w:lvlJc w:val="left"/>
      <w:pPr>
        <w:ind w:left="5040" w:hanging="360"/>
      </w:pPr>
    </w:lvl>
    <w:lvl w:ilvl="7" w:tplc="2758B262">
      <w:start w:val="1"/>
      <w:numFmt w:val="lowerLetter"/>
      <w:lvlText w:val="%8."/>
      <w:lvlJc w:val="left"/>
      <w:pPr>
        <w:ind w:left="5760" w:hanging="360"/>
      </w:pPr>
    </w:lvl>
    <w:lvl w:ilvl="8" w:tplc="D7EE75D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C13BE3"/>
    <w:multiLevelType w:val="hybridMultilevel"/>
    <w:tmpl w:val="85687B26"/>
    <w:lvl w:ilvl="0" w:tplc="F290196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17A6AFE0">
      <w:start w:val="1"/>
      <w:numFmt w:val="lowerLetter"/>
      <w:lvlText w:val="%2."/>
      <w:lvlJc w:val="left"/>
      <w:pPr>
        <w:ind w:left="1620" w:hanging="360"/>
      </w:pPr>
    </w:lvl>
    <w:lvl w:ilvl="2" w:tplc="CC0A2802">
      <w:start w:val="1"/>
      <w:numFmt w:val="lowerRoman"/>
      <w:lvlText w:val="%3."/>
      <w:lvlJc w:val="right"/>
      <w:pPr>
        <w:ind w:left="2340" w:hanging="180"/>
      </w:pPr>
    </w:lvl>
    <w:lvl w:ilvl="3" w:tplc="4C5A8FD0">
      <w:start w:val="1"/>
      <w:numFmt w:val="decimal"/>
      <w:lvlText w:val="%4."/>
      <w:lvlJc w:val="left"/>
      <w:pPr>
        <w:ind w:left="3060" w:hanging="360"/>
      </w:pPr>
    </w:lvl>
    <w:lvl w:ilvl="4" w:tplc="B2D40F7C">
      <w:start w:val="1"/>
      <w:numFmt w:val="lowerLetter"/>
      <w:lvlText w:val="%5."/>
      <w:lvlJc w:val="left"/>
      <w:pPr>
        <w:ind w:left="3780" w:hanging="360"/>
      </w:pPr>
    </w:lvl>
    <w:lvl w:ilvl="5" w:tplc="683ADE58">
      <w:start w:val="1"/>
      <w:numFmt w:val="lowerRoman"/>
      <w:lvlText w:val="%6."/>
      <w:lvlJc w:val="right"/>
      <w:pPr>
        <w:ind w:left="4500" w:hanging="180"/>
      </w:pPr>
    </w:lvl>
    <w:lvl w:ilvl="6" w:tplc="994A2ECC">
      <w:start w:val="1"/>
      <w:numFmt w:val="decimal"/>
      <w:lvlText w:val="%7."/>
      <w:lvlJc w:val="left"/>
      <w:pPr>
        <w:ind w:left="5220" w:hanging="360"/>
      </w:pPr>
    </w:lvl>
    <w:lvl w:ilvl="7" w:tplc="CE484F22">
      <w:start w:val="1"/>
      <w:numFmt w:val="lowerLetter"/>
      <w:lvlText w:val="%8."/>
      <w:lvlJc w:val="left"/>
      <w:pPr>
        <w:ind w:left="5940" w:hanging="360"/>
      </w:pPr>
    </w:lvl>
    <w:lvl w:ilvl="8" w:tplc="2B164D56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E1958B4"/>
    <w:multiLevelType w:val="hybridMultilevel"/>
    <w:tmpl w:val="6B26EF12"/>
    <w:lvl w:ilvl="0" w:tplc="2D128268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3A10E2AC">
      <w:start w:val="1"/>
      <w:numFmt w:val="lowerLetter"/>
      <w:lvlText w:val="%2."/>
      <w:lvlJc w:val="left"/>
      <w:pPr>
        <w:ind w:left="1619" w:hanging="360"/>
      </w:pPr>
    </w:lvl>
    <w:lvl w:ilvl="2" w:tplc="A6ACA892">
      <w:start w:val="1"/>
      <w:numFmt w:val="lowerRoman"/>
      <w:lvlText w:val="%3."/>
      <w:lvlJc w:val="right"/>
      <w:pPr>
        <w:ind w:left="2339" w:hanging="180"/>
      </w:pPr>
    </w:lvl>
    <w:lvl w:ilvl="3" w:tplc="72F47DBE">
      <w:start w:val="1"/>
      <w:numFmt w:val="decimal"/>
      <w:lvlText w:val="%4."/>
      <w:lvlJc w:val="left"/>
      <w:pPr>
        <w:ind w:left="3059" w:hanging="360"/>
      </w:pPr>
    </w:lvl>
    <w:lvl w:ilvl="4" w:tplc="66FA1562">
      <w:start w:val="1"/>
      <w:numFmt w:val="lowerLetter"/>
      <w:lvlText w:val="%5."/>
      <w:lvlJc w:val="left"/>
      <w:pPr>
        <w:ind w:left="3779" w:hanging="360"/>
      </w:pPr>
    </w:lvl>
    <w:lvl w:ilvl="5" w:tplc="ABB0004E">
      <w:start w:val="1"/>
      <w:numFmt w:val="lowerRoman"/>
      <w:lvlText w:val="%6."/>
      <w:lvlJc w:val="right"/>
      <w:pPr>
        <w:ind w:left="4499" w:hanging="180"/>
      </w:pPr>
    </w:lvl>
    <w:lvl w:ilvl="6" w:tplc="F476ED58">
      <w:start w:val="1"/>
      <w:numFmt w:val="decimal"/>
      <w:lvlText w:val="%7."/>
      <w:lvlJc w:val="left"/>
      <w:pPr>
        <w:ind w:left="5219" w:hanging="360"/>
      </w:pPr>
    </w:lvl>
    <w:lvl w:ilvl="7" w:tplc="D1041B88">
      <w:start w:val="1"/>
      <w:numFmt w:val="lowerLetter"/>
      <w:lvlText w:val="%8."/>
      <w:lvlJc w:val="left"/>
      <w:pPr>
        <w:ind w:left="5939" w:hanging="360"/>
      </w:pPr>
    </w:lvl>
    <w:lvl w:ilvl="8" w:tplc="B41E6142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ABA"/>
    <w:rsid w:val="003E0590"/>
    <w:rsid w:val="00B40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азвание объекта Знак"/>
    <w:link w:val="ab"/>
    <w:uiPriority w:val="35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link w:val="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3"/>
    <w:basedOn w:val="a"/>
    <w:link w:val="33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3">
    <w:name w:val="Основной текст 3 Знак"/>
    <w:basedOn w:val="a0"/>
    <w:link w:val="3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info-name">
    <w:name w:val="info-name"/>
    <w:basedOn w:val="a0"/>
  </w:style>
  <w:style w:type="character" w:customStyle="1" w:styleId="info-data">
    <w:name w:val="info-data"/>
    <w:basedOn w:val="a0"/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Segoe UI" w:hAnsi="Segoe UI" w:cs="Segoe UI"/>
      <w:sz w:val="18"/>
      <w:szCs w:val="18"/>
    </w:rPr>
  </w:style>
  <w:style w:type="paragraph" w:customStyle="1" w:styleId="Default">
    <w:name w:val="Default"/>
    <w:pPr>
      <w:spacing w:after="0" w:line="240" w:lineRule="auto"/>
    </w:pPr>
    <w:rPr>
      <w:rFonts w:ascii="PT Astra Serif" w:eastAsia="Times New Roman" w:hAnsi="PT Astra Serif" w:cs="PT Astra Serif"/>
      <w:color w:val="000000"/>
      <w:sz w:val="24"/>
      <w:szCs w:val="24"/>
      <w:lang w:eastAsia="ru-RU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b/>
      <w:bCs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ff">
    <w:name w:val="Body Text"/>
    <w:basedOn w:val="a"/>
    <w:link w:val="aff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0">
    <w:name w:val="Основной текст Знак"/>
    <w:basedOn w:val="a0"/>
    <w:link w:val="a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1">
    <w:name w:val="Знак"/>
    <w:basedOn w:val="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f2">
    <w:name w:val="Emphasis"/>
    <w:basedOn w:val="a0"/>
    <w:uiPriority w:val="20"/>
    <w:rPr>
      <w:i/>
      <w:iCs/>
    </w:rPr>
  </w:style>
  <w:style w:type="paragraph" w:styleId="aff3">
    <w:name w:val="header"/>
    <w:basedOn w:val="a"/>
    <w:link w:val="aff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Верхний колонтитул Знак"/>
    <w:basedOn w:val="a0"/>
    <w:link w:val="aff3"/>
    <w:uiPriority w:val="99"/>
  </w:style>
  <w:style w:type="paragraph" w:styleId="aff5">
    <w:name w:val="footer"/>
    <w:basedOn w:val="a"/>
    <w:link w:val="af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6">
    <w:name w:val="Нижний колонтитул Знак"/>
    <w:basedOn w:val="a0"/>
    <w:link w:val="aff5"/>
    <w:uiPriority w:val="99"/>
  </w:style>
  <w:style w:type="character" w:styleId="aff7">
    <w:name w:val="Strong"/>
    <w:basedOn w:val="a0"/>
    <w:uiPriority w:val="22"/>
    <w:rPr>
      <w:b/>
      <w:bCs/>
    </w:rPr>
  </w:style>
  <w:style w:type="character" w:customStyle="1" w:styleId="docdata">
    <w:name w:val="docdata"/>
    <w:basedOn w:val="a0"/>
  </w:style>
  <w:style w:type="paragraph" w:customStyle="1" w:styleId="11">
    <w:name w:val="Обычный (веб)1"/>
    <w:link w:val="GridTable5Dark-Accent4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азвание объекта Знак"/>
    <w:link w:val="ab"/>
    <w:uiPriority w:val="35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link w:val="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3"/>
    <w:basedOn w:val="a"/>
    <w:link w:val="33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3">
    <w:name w:val="Основной текст 3 Знак"/>
    <w:basedOn w:val="a0"/>
    <w:link w:val="3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info-name">
    <w:name w:val="info-name"/>
    <w:basedOn w:val="a0"/>
  </w:style>
  <w:style w:type="character" w:customStyle="1" w:styleId="info-data">
    <w:name w:val="info-data"/>
    <w:basedOn w:val="a0"/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Segoe UI" w:hAnsi="Segoe UI" w:cs="Segoe UI"/>
      <w:sz w:val="18"/>
      <w:szCs w:val="18"/>
    </w:rPr>
  </w:style>
  <w:style w:type="paragraph" w:customStyle="1" w:styleId="Default">
    <w:name w:val="Default"/>
    <w:pPr>
      <w:spacing w:after="0" w:line="240" w:lineRule="auto"/>
    </w:pPr>
    <w:rPr>
      <w:rFonts w:ascii="PT Astra Serif" w:eastAsia="Times New Roman" w:hAnsi="PT Astra Serif" w:cs="PT Astra Serif"/>
      <w:color w:val="000000"/>
      <w:sz w:val="24"/>
      <w:szCs w:val="24"/>
      <w:lang w:eastAsia="ru-RU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b/>
      <w:bCs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ff">
    <w:name w:val="Body Text"/>
    <w:basedOn w:val="a"/>
    <w:link w:val="aff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0">
    <w:name w:val="Основной текст Знак"/>
    <w:basedOn w:val="a0"/>
    <w:link w:val="a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1">
    <w:name w:val="Знак"/>
    <w:basedOn w:val="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f2">
    <w:name w:val="Emphasis"/>
    <w:basedOn w:val="a0"/>
    <w:uiPriority w:val="20"/>
    <w:rPr>
      <w:i/>
      <w:iCs/>
    </w:rPr>
  </w:style>
  <w:style w:type="paragraph" w:styleId="aff3">
    <w:name w:val="header"/>
    <w:basedOn w:val="a"/>
    <w:link w:val="aff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Верхний колонтитул Знак"/>
    <w:basedOn w:val="a0"/>
    <w:link w:val="aff3"/>
    <w:uiPriority w:val="99"/>
  </w:style>
  <w:style w:type="paragraph" w:styleId="aff5">
    <w:name w:val="footer"/>
    <w:basedOn w:val="a"/>
    <w:link w:val="af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6">
    <w:name w:val="Нижний колонтитул Знак"/>
    <w:basedOn w:val="a0"/>
    <w:link w:val="aff5"/>
    <w:uiPriority w:val="99"/>
  </w:style>
  <w:style w:type="character" w:styleId="aff7">
    <w:name w:val="Strong"/>
    <w:basedOn w:val="a0"/>
    <w:uiPriority w:val="22"/>
    <w:rPr>
      <w:b/>
      <w:bCs/>
    </w:rPr>
  </w:style>
  <w:style w:type="character" w:customStyle="1" w:styleId="docdata">
    <w:name w:val="docdata"/>
    <w:basedOn w:val="a0"/>
  </w:style>
  <w:style w:type="paragraph" w:customStyle="1" w:styleId="11">
    <w:name w:val="Обычный (веб)1"/>
    <w:link w:val="GridTable5Dark-Accent4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amp;amp;base=RLAW091&amp;amp;amp;n=175169&amp;amp;amp;dst=100011&amp;amp;amp;field=134&amp;amp;amp;date=31.07.202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amp;amp;base=RLAW091&amp;amp;amp;n=175169&amp;amp;amp;date=31.07.2026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09623-E68B-4FDB-BDA0-881FB4513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1423</Words>
  <Characters>8115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Сергеевич Луговской</dc:creator>
  <cp:lastModifiedBy>Наталья Николаевна Фигач</cp:lastModifiedBy>
  <cp:revision>2</cp:revision>
  <dcterms:created xsi:type="dcterms:W3CDTF">2026-09-25T02:58:00Z</dcterms:created>
  <dcterms:modified xsi:type="dcterms:W3CDTF">2026-09-25T02:58:00Z</dcterms:modified>
</cp:coreProperties>
</file>