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jc w:val="center"/>
        <w:rPr>
          <w:rFonts w:ascii="PT Astra Serif" w:hAnsi="PT Astra Serif"/>
          <w:b/>
          <w:sz w:val="26"/>
          <w:szCs w:val="26"/>
        </w:rPr>
      </w:pPr>
    </w:p>
    <w:p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Департамент по управлению государственной собственностью Томской области сообщает о результатах конкурса в отраслевой резерв Департамента по управлению государственной собственностью Томской области</w:t>
      </w:r>
      <w:r>
        <w:rPr>
          <w:rFonts w:ascii="PT Astra Serif" w:hAnsi="PT Astra Serif"/>
          <w:b/>
          <w:spacing w:val="-2"/>
          <w:sz w:val="26"/>
          <w:szCs w:val="26"/>
        </w:rPr>
        <w:t>,</w:t>
      </w:r>
      <w:r>
        <w:rPr>
          <w:rFonts w:ascii="PT Astra Serif" w:hAnsi="PT Astra Serif"/>
          <w:b/>
          <w:sz w:val="26"/>
          <w:szCs w:val="26"/>
        </w:rPr>
        <w:t xml:space="preserve"> </w:t>
      </w:r>
    </w:p>
    <w:p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назначенного на 4 сентября</w:t>
      </w:r>
      <w:r>
        <w:rPr>
          <w:rFonts w:ascii="PT Astra Serif" w:hAnsi="PT Astra Serif"/>
          <w:b/>
          <w:sz w:val="26"/>
          <w:szCs w:val="26"/>
        </w:rPr>
        <w:t xml:space="preserve"> 2026</w:t>
      </w:r>
      <w:r>
        <w:rPr>
          <w:rFonts w:ascii="PT Astra Serif" w:hAnsi="PT Astra Serif"/>
          <w:b/>
          <w:sz w:val="26"/>
          <w:szCs w:val="26"/>
        </w:rPr>
        <w:t xml:space="preserve"> года.</w:t>
      </w:r>
    </w:p>
    <w:p>
      <w:pPr>
        <w:ind w:firstLine="0"/>
        <w:jc w:val="both"/>
        <w:rPr>
          <w:rFonts w:ascii="PT Astra Serif" w:hAnsi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</w:pBdr>
        <w:ind w:firstLine="851"/>
        <w:jc w:val="both"/>
        <w:rPr>
          <w:rFonts w:ascii="PT Astra Serif" w:hAnsi="PT Astra Serif"/>
          <w:sz w:val="26"/>
          <w:szCs w:val="26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Конкурс в 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отраслевой резерв 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Департамента по управлению государственной собственностью Томской области </w:t>
      </w:r>
      <w:r>
        <w:rPr>
          <w:rFonts w:ascii="PT Astra Serif" w:hAnsi="PT Astra Serif"/>
          <w:b w:val="0"/>
          <w:bCs w:val="0"/>
          <w:sz w:val="26"/>
          <w:szCs w:val="26"/>
        </w:rPr>
        <w:t>при</w:t>
      </w:r>
      <w:r>
        <w:rPr>
          <w:rFonts w:ascii="PT Astra Serif" w:hAnsi="PT Astra Serif"/>
          <w:sz w:val="26"/>
          <w:szCs w:val="26"/>
        </w:rPr>
        <w:t>знан несостоявшимся в связи с отсутствием поданных заявок.</w:t>
      </w:r>
    </w:p>
    <w:p>
      <w:pPr>
        <w:ind w:firstLine="851"/>
        <w:jc w:val="both"/>
        <w:rPr>
          <w:rFonts w:ascii="PT Astra Serif" w:hAnsi="PT Astra Serif"/>
          <w:sz w:val="26"/>
          <w:szCs w:val="26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jc w:val="righ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Секр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етарь комиссии Т.Н. Каташова</w:t>
      </w:r>
    </w:p>
    <w:p>
      <w:pPr>
        <w:rPr>
          <w:rFonts w:ascii="PT Astra Serif" w:hAnsi="PT Astra Serif"/>
        </w:rPr>
      </w:pPr>
    </w:p>
    <w:p>
      <w:pPr>
        <w:pStyle w:val="a6"/>
        <w:ind w:left="0"/>
        <w:rPr>
          <w:rFonts w:ascii="PT Astra Serif" w:hAnsi="PT Astra Serif"/>
          <w:szCs w:val="20"/>
        </w:rPr>
      </w:pPr>
    </w:p>
    <w:p>
      <w:pPr>
        <w:pStyle w:val="a6"/>
        <w:ind w:left="0"/>
        <w:rPr>
          <w:rFonts w:ascii="PT Astra Serif" w:hAnsi="PT Astra Serif"/>
          <w:szCs w:val="20"/>
        </w:rPr>
      </w:pPr>
    </w:p>
    <w:sectPr>
      <w:headerReference w:type="even" r:id="rId4"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  <w:charset w:val="00"/>
    <w:family w:val="auto"/>
    <w:pitch w:val="default"/>
  </w:font>
  <w:font w:name="Symbol">
    <w:panose1 w:val="05010000000000000000"/>
    <w:charset w:val="00"/>
    <w:family w:val="auto"/>
    <w:pitch w:val="default"/>
  </w:font>
  <w:font w:name="Verdana">
    <w:panose1 w:val="020B0604030504040204"/>
    <w:charset w:val="00"/>
    <w:family w:val="auto"/>
    <w:pitch w:val="default"/>
  </w:font>
  <w:font w:name="Courier New">
    <w:panose1 w:val="020704090202050204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E3BBE60"/>
    <w:multiLevelType w:val="hybridMultilevel"/>
    <w:tmpl w:val="00000000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1D9DCC4"/>
    <w:multiLevelType w:val="hybridMultilevel"/>
    <w:tmpl w:val="00000000"/>
    <w:lvl w:ilvl="0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1BADB774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1F3AADBB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04F2B3B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830EA93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9A10890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3B70273"/>
    <w:multiLevelType w:val="hybridMultilevel"/>
    <w:tmpl w:val="00000000"/>
    <w:lvl w:ilvl="0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8">
    <w:nsid w:val="694D92F4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6CAD9F51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6FFF65D6"/>
    <w:multiLevelType w:val="hybridMultilevel"/>
    <w:tmpl w:val="00000000"/>
    <w:lvl w:ilvl="0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1">
    <w:nsid w:val="78367FF9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8"/>
  </w:num>
  <w:num w:numId="5">
    <w:abstractNumId w:val="3"/>
  </w:num>
  <w:num w:numId="6">
    <w:abstractNumId w:val="10"/>
  </w:num>
  <w:num w:numId="7">
    <w:abstractNumId w:val="1"/>
  </w:num>
  <w:num w:numId="8">
    <w:abstractNumId w:val="2"/>
  </w:num>
  <w:num w:numId="9">
    <w:abstractNumId w:val="5"/>
  </w:num>
  <w:num w:numId="10">
    <w:abstractNumId w:val="4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-108" w:firstLine="709"/>
      <w:jc w:val="center"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CE6F1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1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5D8DC2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D9969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9BBA59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AE5F1" w:themeColor="accent1" w:themeTint="34" w:themeFill="accent1" w:themeFillTint="34"/>
    </w:tblPr>
    <w:tblStylePr w:type="band1Horz">
      <w:tblPr/>
      <w:tcPr>
        <w:shd w:val="clear" w:color="FFFFFF" w:fill="ADC5E0" w:themeColor="accent1" w:themeTint="75" w:themeFill="accent1" w:themeFillTint="75"/>
      </w:tcPr>
    </w:tblStylePr>
    <w:tblStylePr w:type="band1Vert">
      <w:tblPr/>
      <w:tcPr>
        <w:shd w:val="clear" w:color="FFFFFF" w:fill="ADC5E0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F81BD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2DCDB" w:themeColor="accent2" w:themeTint="32" w:themeFill="accent2" w:themeFillTint="32"/>
    </w:tblPr>
    <w:tblStylePr w:type="band1Horz">
      <w:tblPr/>
      <w:tcPr>
        <w:shd w:val="clear" w:color="FFFFFF" w:fill="E1ADAC" w:themeColor="accent2" w:themeTint="75" w:themeFill="accent2" w:themeFillTint="75"/>
      </w:tcPr>
    </w:tblStylePr>
    <w:tblStylePr w:type="band1Vert">
      <w:tblPr/>
      <w:tcPr>
        <w:shd w:val="clear" w:color="FFFFFF" w:fill="E1ADAC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C0504D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AF0DD" w:themeColor="accent3" w:themeTint="34" w:themeFill="accent3" w:themeFillTint="34"/>
    </w:tblPr>
    <w:tblStylePr w:type="band1Horz">
      <w:tblPr/>
      <w:tcPr>
        <w:shd w:val="clear" w:color="FFFFFF" w:fill="D1DFB2" w:themeColor="accent3" w:themeTint="75" w:themeFill="accent3" w:themeFillTint="75"/>
      </w:tcPr>
    </w:tblStylePr>
    <w:tblStylePr w:type="band1Vert">
      <w:tblPr/>
      <w:tcPr>
        <w:shd w:val="clear" w:color="FFFFFF" w:fill="D1DFB2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9BBB59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5DFEC" w:themeColor="accent4" w:themeTint="34" w:themeFill="accent4" w:themeFillTint="34"/>
    </w:tblPr>
    <w:tblStylePr w:type="band1Horz">
      <w:tblPr/>
      <w:tcPr>
        <w:shd w:val="clear" w:color="FFFFFF" w:fill="C4B7D4" w:themeColor="accent4" w:themeTint="75" w:themeFill="accent4" w:themeFillTint="75"/>
      </w:tcPr>
    </w:tblStylePr>
    <w:tblStylePr w:type="band1Vert">
      <w:tblPr/>
      <w:tcPr>
        <w:shd w:val="clear" w:color="FFFFFF" w:fill="C4B7D4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8064A2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AEEF3" w:themeColor="accent5" w:themeTint="34" w:themeFill="accent5" w:themeFillTint="34"/>
    </w:tblPr>
    <w:tblStylePr w:type="band1Horz">
      <w:tblPr/>
      <w:tcPr>
        <w:shd w:val="clear" w:color="FFFFFF" w:fill="ABD9E4" w:themeColor="accent5" w:themeTint="75" w:themeFill="accent5" w:themeFillTint="75"/>
      </w:tcPr>
    </w:tblStylePr>
    <w:tblStylePr w:type="band1Vert">
      <w:tblPr/>
      <w:tcPr>
        <w:shd w:val="clear" w:color="FFFFFF" w:fill="ABD9E4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BACC6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DE9D8" w:themeColor="accent6" w:themeTint="34" w:themeFill="accent6" w:themeFillTint="34"/>
    </w:tblPr>
    <w:tblStylePr w:type="band1Horz">
      <w:tblPr/>
      <w:tcPr>
        <w:shd w:val="clear" w:color="FFFFFF" w:fill="FBCDA8" w:themeColor="accent6" w:themeTint="75" w:themeFill="accent6" w:themeFillTint="75"/>
      </w:tcPr>
    </w:tblStylePr>
    <w:tblStylePr w:type="band1Vert">
      <w:tblPr/>
      <w:tcPr>
        <w:shd w:val="clear" w:color="FFFFFF" w:fill="FBCD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79646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tblPr/>
      <w:tcPr>
        <w:shd w:val="clear" w:color="FFFFFF" w:fill="DAE5F1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E70A3" w:themeColor="accent1" w:themeShade="95" w:themeTint="80"/>
      </w:rPr>
    </w:tblStylePr>
    <w:tblStylePr w:type="firstRow">
      <w:rPr>
        <w:b/>
        <w:color w:val="3E70A3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E70A3" w:themeColor="accent1" w:themeShade="95" w:themeTint="80"/>
      </w:rPr>
    </w:tblStylePr>
    <w:tblStylePr w:type="lastRow">
      <w:rPr>
        <w:b/>
        <w:color w:val="3E70A3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tblPr/>
      <w:tcPr>
        <w:shd w:val="clear" w:color="FFFFFF" w:fill="F2DCDB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9C3A37" w:themeColor="accent2" w:themeShade="95" w:themeTint="97"/>
      </w:rPr>
    </w:tblStylePr>
    <w:tblStylePr w:type="firstRow">
      <w:rPr>
        <w:b/>
        <w:color w:val="9C3A37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9C3A37" w:themeColor="accent2" w:themeShade="95" w:themeTint="97"/>
      </w:rPr>
    </w:tblStylePr>
    <w:tblStylePr w:type="lastRow">
      <w:rPr>
        <w:b/>
        <w:color w:val="9C3A37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tblPr/>
      <w:tcPr>
        <w:shd w:val="clear" w:color="FFFFFF" w:fill="EAF0D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5C702F" w:themeColor="accent3" w:themeShade="95" w:themeTint="FE"/>
      </w:rPr>
    </w:tblStylePr>
    <w:tblStylePr w:type="firstRow">
      <w:rPr>
        <w:b/>
        <w:color w:val="5C702F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5C702F" w:themeColor="accent3" w:themeShade="95" w:themeTint="FE"/>
      </w:rPr>
    </w:tblStylePr>
    <w:tblStylePr w:type="lastRow">
      <w:rPr>
        <w:b/>
        <w:color w:val="5C702F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tblPr/>
      <w:tcPr>
        <w:shd w:val="clear" w:color="FFFFFF" w:fill="E5DFEC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664F82" w:themeColor="accent4" w:themeShade="95" w:themeTint="9A"/>
      </w:rPr>
    </w:tblStylePr>
    <w:tblStylePr w:type="firstRow">
      <w:rPr>
        <w:b/>
        <w:color w:val="664F82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664F82" w:themeColor="accent4" w:themeShade="95" w:themeTint="9A"/>
      </w:rPr>
    </w:tblStylePr>
    <w:tblStylePr w:type="lastRow">
      <w:rPr>
        <w:b/>
        <w:color w:val="664F82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tblPr/>
      <w:tcPr>
        <w:shd w:val="clear" w:color="FFFFFF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tblPr/>
      <w:tcPr>
        <w:shd w:val="clear" w:color="FFFFFF" w:fill="FDE9D8" w:themeColor="accent6" w:themeTint="34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E70A3" w:themeColor="accent1" w:themeShade="95" w:themeTint="8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tblPr/>
      <w:tcPr>
        <w:shd w:val="clear" w:color="FFFFFF" w:fill="DAE5F1" w:themeColor="accent1" w:themeTint="34" w:themeFill="accent1" w:themeFillTint="34"/>
      </w:tcPr>
    </w:tblStylePr>
    <w:tblStylePr w:type="band2Horz">
      <w:rPr>
        <w:rFonts w:ascii="Arial" w:hAnsi="Arial"/>
        <w:color w:val="3E70A3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E70A3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E70A3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E70A3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E70A3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9C3A37" w:themeColor="accent2" w:themeShade="95" w:themeTint="97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tblPr/>
      <w:tcPr>
        <w:shd w:val="clear" w:color="FFFFFF" w:fill="F2DCDB" w:themeColor="accent2" w:themeTint="32" w:themeFill="accent2" w:themeFillTint="32"/>
      </w:tcPr>
    </w:tblStylePr>
    <w:tblStylePr w:type="band2Horz">
      <w:rPr>
        <w:rFonts w:ascii="Arial" w:hAnsi="Arial"/>
        <w:color w:val="9C3A37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9C3A37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5C702F" w:themeColor="accent3" w:themeShade="95" w:themeTint="FE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tblPr/>
      <w:tcPr>
        <w:shd w:val="clear" w:color="FFFFFF" w:fill="EAF0DD" w:themeColor="accent3" w:themeTint="34" w:themeFill="accent3" w:themeFillTint="34"/>
      </w:tcPr>
    </w:tblStylePr>
    <w:tblStylePr w:type="band2Horz">
      <w:rPr>
        <w:rFonts w:ascii="Arial" w:hAnsi="Arial"/>
        <w:color w:val="5C702F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5C702F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5C702F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C702F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5C702F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664F82" w:themeColor="accent4" w:themeShade="95" w:themeTint="9A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tblPr/>
      <w:tcPr>
        <w:shd w:val="clear" w:color="FFFFFF" w:fill="E5DFEC" w:themeColor="accent4" w:themeTint="34" w:themeFill="accent4" w:themeFillTint="34"/>
      </w:tcPr>
    </w:tblStylePr>
    <w:tblStylePr w:type="band2Horz">
      <w:rPr>
        <w:rFonts w:ascii="Arial" w:hAnsi="Arial"/>
        <w:color w:val="664F82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64F82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tblPr/>
      <w:tcPr>
        <w:shd w:val="clear" w:color="FFFFFF" w:fill="DAEEF3" w:themeColor="accent5" w:themeTint="34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66777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tblPr/>
      <w:tcPr>
        <w:shd w:val="clear" w:color="FFFFFF" w:fill="FDE9D8" w:themeColor="accent6" w:themeTint="34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B053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1CDDC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9BF90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4F81BD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4F81BD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4F81BD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4F81BD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4F81BD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D99694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3D69B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B2A1C6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91CDDC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F9BF90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9C3A37" w:themeColor="accent2" w:themeShade="95" w:themeTint="97"/>
      </w:rPr>
    </w:tblStylePr>
    <w:tblStylePr w:type="firstRow">
      <w:rPr>
        <w:b/>
        <w:color w:val="9C3A37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9C3A37" w:themeColor="accent2" w:themeShade="95" w:themeTint="97"/>
      </w:rPr>
    </w:tblStylePr>
    <w:tblStylePr w:type="lastRow">
      <w:rPr>
        <w:b/>
        <w:color w:val="9C3A37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C983F" w:themeColor="accent3" w:themeShade="95" w:themeTint="98"/>
      </w:rPr>
    </w:tblStylePr>
    <w:tblStylePr w:type="firstRow">
      <w:rPr>
        <w:b/>
        <w:color w:val="7C983F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C983F" w:themeColor="accent3" w:themeShade="95" w:themeTint="98"/>
      </w:rPr>
    </w:tblStylePr>
    <w:tblStylePr w:type="lastRow">
      <w:rPr>
        <w:b/>
        <w:color w:val="7C983F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664F82" w:themeColor="accent4" w:themeShade="95" w:themeTint="9A"/>
      </w:rPr>
    </w:tblStylePr>
    <w:tblStylePr w:type="firstRow">
      <w:rPr>
        <w:b/>
        <w:color w:val="664F82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664F82" w:themeColor="accent4" w:themeShade="95" w:themeTint="9A"/>
      </w:rPr>
    </w:tblStylePr>
    <w:tblStylePr w:type="lastRow">
      <w:rPr>
        <w:b/>
        <w:color w:val="664F82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8AA0" w:themeColor="accent5" w:themeShade="95" w:themeTint="9A"/>
      </w:rPr>
    </w:tblStylePr>
    <w:tblStylePr w:type="firstRow">
      <w:rPr>
        <w:b/>
        <w:color w:val="338AA0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8AA0" w:themeColor="accent5" w:themeShade="95" w:themeTint="9A"/>
      </w:rPr>
    </w:tblStylePr>
    <w:tblStylePr w:type="lastRow">
      <w:rPr>
        <w:b/>
        <w:color w:val="338AA0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D9680C" w:themeColor="accent6" w:themeShade="95" w:themeTint="98"/>
      </w:rPr>
    </w:tblStylePr>
    <w:tblStylePr w:type="firstRow">
      <w:rPr>
        <w:b/>
        <w:color w:val="D9680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D9680C" w:themeColor="accent6" w:themeShade="95" w:themeTint="98"/>
      </w:rPr>
    </w:tblStylePr>
    <w:tblStylePr w:type="lastRow">
      <w:rPr>
        <w:b/>
        <w:color w:val="D9680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9C3A37" w:themeColor="accent2" w:themeShade="95" w:themeTint="97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band2Horz">
      <w:rPr>
        <w:rFonts w:ascii="Arial" w:hAnsi="Arial"/>
        <w:color w:val="9C3A37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9C3A37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C983F" w:themeColor="accent3" w:themeShade="95" w:themeTint="98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band2Horz">
      <w:rPr>
        <w:rFonts w:ascii="Arial" w:hAnsi="Arial"/>
        <w:color w:val="7C983F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C983F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664F82" w:themeColor="accent4" w:themeShade="95" w:themeTint="9A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band2Horz">
      <w:rPr>
        <w:rFonts w:ascii="Arial" w:hAnsi="Arial"/>
        <w:color w:val="664F82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664F82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8AA0" w:themeColor="accent5" w:themeShade="95" w:themeTint="9A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band2Horz">
      <w:rPr>
        <w:rFonts w:ascii="Arial" w:hAnsi="Arial"/>
        <w:color w:val="338AA0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8AA0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D9680C" w:themeColor="accent6" w:themeShade="95" w:themeTint="98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band2Horz">
      <w:rPr>
        <w:rFonts w:ascii="Arial" w:hAnsi="Arial"/>
        <w:color w:val="D9680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D9680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a">
    <w:name w:val="Кабинет"/>
    <w:basedOn w:val="Normal"/>
    <w:pPr>
      <w:jc w:val="center"/>
    </w:pPr>
  </w:style>
  <w:style w:type="paragraph" w:customStyle="1" w:styleId="a0">
    <w:name w:val="Должность"/>
    <w:basedOn w:val="Normal"/>
    <w:next w:val="a1"/>
    <w:rPr>
      <w:i/>
      <w:color w:val="000000"/>
    </w:rPr>
  </w:style>
  <w:style w:type="paragraph" w:customStyle="1" w:styleId="a1">
    <w:name w:val="ФИО"/>
    <w:basedOn w:val="Normal"/>
    <w:link w:val="a7"/>
    <w:rPr>
      <w:b/>
    </w:rPr>
  </w:style>
  <w:style w:type="paragraph" w:customStyle="1" w:styleId="a2">
    <w:name w:val="Телефон"/>
    <w:basedOn w:val="Normal"/>
    <w:pPr>
      <w:jc w:val="center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paragraph" w:customStyle="1" w:styleId="a3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4">
    <w:name w:val="Обращение"/>
    <w:basedOn w:val="Normal"/>
    <w:next w:val="Normal"/>
    <w:pPr>
      <w:spacing w:before="240" w:after="120"/>
      <w:jc w:val="center"/>
    </w:pPr>
    <w:rPr>
      <w:sz w:val="26"/>
    </w:rPr>
  </w:style>
  <w:style w:type="paragraph" w:styleId="BodyTextIndent">
    <w:name w:val="Body Text Indent"/>
    <w:basedOn w:val="Normal"/>
    <w:pPr>
      <w:ind w:firstLine="709"/>
      <w:jc w:val="both"/>
    </w:pPr>
    <w:rPr>
      <w:sz w:val="28"/>
    </w:rPr>
  </w:style>
  <w:style w:type="paragraph" w:styleId="BodyTextIndent2">
    <w:name w:val="Body Text Indent 2"/>
    <w:basedOn w:val="Normal"/>
    <w:pPr>
      <w:ind w:left="-107"/>
    </w:pPr>
    <w:rPr>
      <w:sz w:val="20"/>
    </w:rPr>
  </w:style>
  <w:style w:type="paragraph" w:customStyle="1" w:styleId="a5">
    <w:name w:val="Текст док"/>
    <w:basedOn w:val="Normal"/>
    <w:pPr>
      <w:ind w:firstLine="601"/>
    </w:pPr>
    <w:rPr>
      <w:sz w:val="28"/>
    </w:rPr>
  </w:style>
  <w:style w:type="paragraph" w:customStyle="1" w:styleId="a6">
    <w:name w:val="Исполнитель"/>
    <w:basedOn w:val="Normal"/>
    <w:pPr>
      <w:ind w:left="-108"/>
    </w:pPr>
    <w:rPr>
      <w:sz w:val="20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ФИО Знак"/>
    <w:link w:val="a1"/>
    <w:rPr>
      <w:b/>
      <w:sz w:val="24"/>
      <w:szCs w:val="24"/>
      <w:lang w:val="ru-RU" w:eastAsia="ru-RU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50" w:after="150" w:line="384" w:lineRule="auto"/>
    </w:p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8">
    <w:name w:val="Знак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zCs w:val="20"/>
    </w:rPr>
  </w:style>
  <w:style w:type="paragraph" w:customStyle="1" w:styleId="1">
    <w:name w:val="Знак1 Знак Знак Знак"/>
    <w:basedOn w:val="Normal"/>
    <w:rPr>
      <w:rFonts w:ascii="Verdana" w:hAnsi="Verdana" w:cs="Verdana"/>
      <w:sz w:val="20"/>
      <w:szCs w:val="20"/>
      <w:lang w:val="en-US" w:eastAsia="en-US"/>
    </w:rPr>
  </w:style>
  <w:style w:type="paragraph" w:customStyle="1" w:styleId="0">
    <w:name w:val="Знак_0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a9"/>
    <w:rPr>
      <w:sz w:val="20"/>
      <w:szCs w:val="20"/>
    </w:rPr>
  </w:style>
  <w:style w:type="character" w:customStyle="1" w:styleId="a9">
    <w:name w:val="Текст примечания Знак"/>
    <w:basedOn w:val="DefaultParagraphFont"/>
    <w:link w:val="CommentText"/>
  </w:style>
  <w:style w:type="paragraph" w:styleId="CommentSubject">
    <w:name w:val="annotation subject"/>
    <w:basedOn w:val="CommentText"/>
    <w:next w:val="CommentText"/>
    <w:link w:val="a10"/>
    <w:rPr>
      <w:b/>
      <w:bCs/>
    </w:rPr>
  </w:style>
  <w:style w:type="character" w:customStyle="1" w:styleId="a10">
    <w:name w:val="Тема примечания Знак"/>
    <w:link w:val="CommentSubject"/>
    <w:rPr>
      <w:b/>
      <w:bCs/>
    </w:rPr>
  </w:style>
  <w:style w:type="paragraph" w:customStyle="1" w:styleId="a11">
    <w:name w:val="Дата документа"/>
    <w:basedOn w:val="Normal"/>
    <w:pPr>
      <w:ind w:left="-107"/>
    </w:pPr>
    <w:rPr>
      <w:sz w:val="20"/>
      <w:szCs w:val="20"/>
    </w:rPr>
  </w:style>
  <w:style w:type="paragraph" w:styleId="BodyText2">
    <w:name w:val="Body Text 2"/>
    <w:basedOn w:val="Normal"/>
    <w:link w:val="2"/>
    <w:pPr>
      <w:spacing w:after="120" w:line="480" w:lineRule="auto"/>
    </w:pPr>
  </w:style>
  <w:style w:type="character" w:customStyle="1" w:styleId="2">
    <w:name w:val="Основной текст 2 Знак"/>
    <w:link w:val="BodyText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0</Pages>
  <Words>0</Words>
  <Characters>0</Characters>
  <Application>Microsoft Office Word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latyshevava</cp:lastModifiedBy>
  <cp:revision>24</cp:revision>
  <dcterms:created xsi:type="dcterms:W3CDTF">2017-08-03T03:56:00Z</dcterms:created>
  <dcterms:modified xsi:type="dcterms:W3CDTF">2026-09-04T02:08:12Z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