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Департамента спорта Томской области от 26.04.2024 N 25</w:t>
              <w:br/>
              <w:t xml:space="preserve">"Об утверждении Административного регламента предоставления государственной услуги "Наделение статусом "Спортивная сборная команда Томской области"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02.09.2025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ДЕПАРТАМЕНТ СПОРТА ТОМСКОЙ ОБЛАСТИ</w:t>
      </w:r>
    </w:p>
    <w:p>
      <w:pPr>
        <w:pStyle w:val="2"/>
        <w:jc w:val="both"/>
      </w:pPr>
      <w:r>
        <w:rPr>
          <w:sz w:val="24"/>
        </w:rPr>
      </w:r>
    </w:p>
    <w:p>
      <w:pPr>
        <w:pStyle w:val="2"/>
        <w:jc w:val="center"/>
      </w:pPr>
      <w:r>
        <w:rPr>
          <w:sz w:val="24"/>
        </w:rPr>
        <w:t xml:space="preserve">ПРИКАЗ</w:t>
      </w:r>
    </w:p>
    <w:p>
      <w:pPr>
        <w:pStyle w:val="2"/>
        <w:jc w:val="center"/>
      </w:pPr>
      <w:r>
        <w:rPr>
          <w:sz w:val="24"/>
        </w:rPr>
        <w:t xml:space="preserve">от 26 апреля 2024 г. N 25</w:t>
      </w:r>
    </w:p>
    <w:p>
      <w:pPr>
        <w:pStyle w:val="2"/>
        <w:jc w:val="both"/>
      </w:pPr>
      <w:r>
        <w:rPr>
          <w:sz w:val="24"/>
        </w:rPr>
      </w:r>
    </w:p>
    <w:p>
      <w:pPr>
        <w:pStyle w:val="2"/>
        <w:jc w:val="center"/>
      </w:pPr>
      <w:r>
        <w:rPr>
          <w:sz w:val="24"/>
        </w:rPr>
        <w:t xml:space="preserve">ОБ УТВЕРЖДЕНИИ АДМИНИСТРАТИВНОГО РЕГЛАМЕНТА ПРЕДОСТАВЛЕНИЯ</w:t>
      </w:r>
    </w:p>
    <w:p>
      <w:pPr>
        <w:pStyle w:val="2"/>
        <w:jc w:val="center"/>
      </w:pPr>
      <w:r>
        <w:rPr>
          <w:sz w:val="24"/>
        </w:rPr>
        <w:t xml:space="preserve">ГОСУДАРСТВЕННОЙ УСЛУГИ "НАДЕЛЕНИЕ СТАТУСОМ "СПОРТИВНАЯ</w:t>
      </w:r>
    </w:p>
    <w:p>
      <w:pPr>
        <w:pStyle w:val="2"/>
        <w:jc w:val="center"/>
      </w:pPr>
      <w:r>
        <w:rPr>
          <w:sz w:val="24"/>
        </w:rPr>
        <w:t xml:space="preserve">СБОРНАЯ КОМАНДА ТОМСКОЙ ОБЛАСТИ"</w:t>
      </w:r>
    </w:p>
    <w:p>
      <w:pPr>
        <w:pStyle w:val="0"/>
        <w:jc w:val="both"/>
      </w:pPr>
      <w:r>
        <w:rPr>
          <w:sz w:val="24"/>
        </w:rPr>
      </w:r>
    </w:p>
    <w:p>
      <w:pPr>
        <w:pStyle w:val="0"/>
        <w:ind w:firstLine="540"/>
        <w:jc w:val="both"/>
      </w:pPr>
      <w:r>
        <w:rPr>
          <w:sz w:val="24"/>
        </w:rPr>
        <w:t xml:space="preserve">Приказываю:</w:t>
      </w:r>
    </w:p>
    <w:p>
      <w:pPr>
        <w:pStyle w:val="0"/>
        <w:spacing w:before="240" w:line-rule="auto"/>
        <w:ind w:firstLine="540"/>
        <w:jc w:val="both"/>
      </w:pPr>
      <w:r>
        <w:rPr>
          <w:sz w:val="24"/>
        </w:rPr>
        <w:t xml:space="preserve">1. Утвердить Административный </w:t>
      </w:r>
      <w:hyperlink w:history="0" w:anchor="P30" w:tooltip="АДМИНИСТРАТИВНЫЙ РЕГЛАМЕНТ">
        <w:r>
          <w:rPr>
            <w:sz w:val="24"/>
            <w:color w:val="0000ff"/>
          </w:rPr>
          <w:t xml:space="preserve">регламент</w:t>
        </w:r>
      </w:hyperlink>
      <w:r>
        <w:rPr>
          <w:sz w:val="24"/>
        </w:rPr>
        <w:t xml:space="preserve"> предоставления государственной услуги "Наделение статусом "Спортивная сборная команда Томской области" (далее - Административный регламент) согласно приложению к настоящему приказу.</w:t>
      </w:r>
    </w:p>
    <w:p>
      <w:pPr>
        <w:pStyle w:val="0"/>
        <w:spacing w:before="240" w:line-rule="auto"/>
        <w:ind w:firstLine="540"/>
        <w:jc w:val="both"/>
      </w:pPr>
      <w:r>
        <w:rPr>
          <w:sz w:val="24"/>
        </w:rPr>
        <w:t xml:space="preserve">2. Главному специалисту комитета физической культуры, спорта и цифрового развития Департамента спорта Томской области:</w:t>
      </w:r>
    </w:p>
    <w:p>
      <w:pPr>
        <w:pStyle w:val="0"/>
        <w:spacing w:before="240" w:line-rule="auto"/>
        <w:ind w:firstLine="540"/>
        <w:jc w:val="both"/>
      </w:pPr>
      <w:r>
        <w:rPr>
          <w:sz w:val="24"/>
        </w:rPr>
        <w:t xml:space="preserve">1) осуществлять исполнение Административного регламента в соответствии с настоящим приказом;</w:t>
      </w:r>
    </w:p>
    <w:p>
      <w:pPr>
        <w:pStyle w:val="0"/>
        <w:spacing w:before="240" w:line-rule="auto"/>
        <w:ind w:firstLine="540"/>
        <w:jc w:val="both"/>
      </w:pPr>
      <w:r>
        <w:rPr>
          <w:sz w:val="24"/>
        </w:rPr>
        <w:t xml:space="preserve">2) обеспечить размещение настоящего приказа в информационно-телекоммуникационной сети "Интернет" на сайте Департамента спорта Томской области, а также в местах ожидания посетителей, обратившихся за получением государственной услуги не позднее 7 рабочих дней после его подписания.</w:t>
      </w:r>
    </w:p>
    <w:p>
      <w:pPr>
        <w:pStyle w:val="0"/>
        <w:spacing w:before="240" w:line-rule="auto"/>
        <w:ind w:firstLine="540"/>
        <w:jc w:val="both"/>
      </w:pPr>
      <w:r>
        <w:rPr>
          <w:sz w:val="24"/>
        </w:rPr>
        <w:t xml:space="preserve">3. Контроль за исполнением настоящего приказа оставляю за собой.</w:t>
      </w:r>
    </w:p>
    <w:p>
      <w:pPr>
        <w:pStyle w:val="0"/>
        <w:spacing w:before="240" w:line-rule="auto"/>
        <w:ind w:firstLine="540"/>
        <w:jc w:val="both"/>
      </w:pPr>
      <w:r>
        <w:rPr>
          <w:sz w:val="24"/>
        </w:rPr>
        <w:t xml:space="preserve">4. Настоящий приказ вступает в силу со дня его официального опубликования.</w:t>
      </w:r>
    </w:p>
    <w:p>
      <w:pPr>
        <w:pStyle w:val="0"/>
        <w:jc w:val="both"/>
      </w:pPr>
      <w:r>
        <w:rPr>
          <w:sz w:val="24"/>
        </w:rPr>
      </w:r>
    </w:p>
    <w:p>
      <w:pPr>
        <w:pStyle w:val="0"/>
        <w:jc w:val="right"/>
      </w:pPr>
      <w:r>
        <w:rPr>
          <w:sz w:val="24"/>
        </w:rPr>
        <w:t xml:space="preserve">Начальник Департамента</w:t>
      </w:r>
    </w:p>
    <w:p>
      <w:pPr>
        <w:pStyle w:val="0"/>
        <w:jc w:val="right"/>
      </w:pPr>
      <w:r>
        <w:rPr>
          <w:sz w:val="24"/>
        </w:rPr>
        <w:t xml:space="preserve">М.В.МАКСИМОВ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приказом</w:t>
      </w:r>
    </w:p>
    <w:p>
      <w:pPr>
        <w:pStyle w:val="0"/>
        <w:jc w:val="right"/>
      </w:pPr>
      <w:r>
        <w:rPr>
          <w:sz w:val="24"/>
        </w:rPr>
        <w:t xml:space="preserve">Департамента спорта Томской области</w:t>
      </w:r>
    </w:p>
    <w:p>
      <w:pPr>
        <w:pStyle w:val="0"/>
        <w:jc w:val="right"/>
      </w:pPr>
      <w:r>
        <w:rPr>
          <w:sz w:val="24"/>
        </w:rPr>
        <w:t xml:space="preserve">от 26.04.2024 N 25</w:t>
      </w:r>
    </w:p>
    <w:p>
      <w:pPr>
        <w:pStyle w:val="0"/>
        <w:jc w:val="both"/>
      </w:pPr>
      <w:r>
        <w:rPr>
          <w:sz w:val="24"/>
        </w:rPr>
      </w:r>
    </w:p>
    <w:bookmarkStart w:id="30" w:name="P30"/>
    <w:bookmarkEnd w:id="30"/>
    <w:p>
      <w:pPr>
        <w:pStyle w:val="2"/>
        <w:jc w:val="center"/>
      </w:pPr>
      <w:r>
        <w:rPr>
          <w:sz w:val="24"/>
        </w:rPr>
        <w:t xml:space="preserve">АДМИНИСТРАТИВНЫЙ РЕГЛАМЕНТ</w:t>
      </w:r>
    </w:p>
    <w:p>
      <w:pPr>
        <w:pStyle w:val="2"/>
        <w:jc w:val="center"/>
      </w:pPr>
      <w:r>
        <w:rPr>
          <w:sz w:val="24"/>
        </w:rPr>
        <w:t xml:space="preserve">ПРЕДОСТАВЛЕНИЯ ГОСУДАРСТВЕННОЙ УСЛУГИ "НАДЕЛЕНИЕ СТАТУСОМ</w:t>
      </w:r>
    </w:p>
    <w:p>
      <w:pPr>
        <w:pStyle w:val="2"/>
        <w:jc w:val="center"/>
      </w:pPr>
      <w:r>
        <w:rPr>
          <w:sz w:val="24"/>
        </w:rPr>
        <w:t xml:space="preserve">"СПОРТИВНАЯ СБОРНАЯ КОМАНДА ТОМСКОЙ ОБЛАСТИ"</w:t>
      </w:r>
    </w:p>
    <w:p>
      <w:pPr>
        <w:pStyle w:val="0"/>
        <w:jc w:val="both"/>
      </w:pPr>
      <w:r>
        <w:rPr>
          <w:sz w:val="24"/>
        </w:rPr>
      </w:r>
    </w:p>
    <w:p>
      <w:pPr>
        <w:pStyle w:val="2"/>
        <w:outlineLvl w:val="1"/>
        <w:jc w:val="center"/>
      </w:pPr>
      <w:r>
        <w:rPr>
          <w:sz w:val="24"/>
        </w:rPr>
        <w:t xml:space="preserve">1. Общие положения</w:t>
      </w:r>
    </w:p>
    <w:p>
      <w:pPr>
        <w:pStyle w:val="0"/>
        <w:jc w:val="both"/>
      </w:pPr>
      <w:r>
        <w:rPr>
          <w:sz w:val="24"/>
        </w:rPr>
      </w:r>
    </w:p>
    <w:p>
      <w:pPr>
        <w:pStyle w:val="0"/>
        <w:ind w:firstLine="540"/>
        <w:jc w:val="both"/>
      </w:pPr>
      <w:r>
        <w:rPr>
          <w:sz w:val="24"/>
        </w:rPr>
        <w:t xml:space="preserve">1. Административный регламент предоставления государственной услуги "Наделение статусом "Спортивная сборная команда Томской области" (далее - Регламент) разработан в целях повышения качества обеспечения информацией, открытости и доступности предоставления государственной услуги, создания комфортных условий для ее получателей, и определяет сроки и последовательность действий (административных процедур) при предоставлении Департаментом спорта Томской области (далее - Департамент) государственной услуги по наделению статусом "Спортивная сборная команда Томской области" формируемых региональными спортивными федерациями коллективов спортсменов, относящихся к различным возрастным группам, тренеров, иных специалистов в области физической культуры и спорта для подготовки к официальным межрегиональным и всероссийским спортивным соревнованиям и их участия в таких соревнованиях.</w:t>
      </w:r>
    </w:p>
    <w:p>
      <w:pPr>
        <w:pStyle w:val="0"/>
        <w:spacing w:before="240" w:line-rule="auto"/>
        <w:ind w:firstLine="540"/>
        <w:jc w:val="both"/>
      </w:pPr>
      <w:r>
        <w:rPr>
          <w:sz w:val="24"/>
        </w:rPr>
        <w:t xml:space="preserve">2. Регламент предоставления государственной услуги разработан Департаментом на основании </w:t>
      </w:r>
      <w:r>
        <w:rPr>
          <w:sz w:val="24"/>
        </w:rPr>
        <w:t xml:space="preserve">части 1 статьи 13</w:t>
      </w:r>
      <w:r>
        <w:rPr>
          <w:sz w:val="24"/>
        </w:rPr>
        <w:t xml:space="preserve"> Федерального закона от 27 июля 2010 года N 210-ФЗ "Об организации предоставления государственных и муниципальных услуг", </w:t>
      </w:r>
      <w:r>
        <w:rPr>
          <w:sz w:val="24"/>
        </w:rPr>
        <w:t xml:space="preserve">части 7 статьи 22</w:t>
      </w:r>
      <w:r>
        <w:rPr>
          <w:sz w:val="24"/>
        </w:rPr>
        <w:t xml:space="preserve"> Федерального закона от 4 декабря 2007 года N 329-ФЗ "О физической культуре и спорте в Российской Федерации", </w:t>
      </w:r>
      <w:r>
        <w:rPr>
          <w:sz w:val="24"/>
        </w:rPr>
        <w:t xml:space="preserve">статей 4</w:t>
      </w:r>
      <w:r>
        <w:rPr>
          <w:sz w:val="24"/>
        </w:rPr>
        <w:t xml:space="preserve">, </w:t>
      </w:r>
      <w:r>
        <w:rPr>
          <w:sz w:val="24"/>
        </w:rPr>
        <w:t xml:space="preserve">5</w:t>
      </w:r>
      <w:r>
        <w:rPr>
          <w:sz w:val="24"/>
        </w:rPr>
        <w:t xml:space="preserve"> Закона Томской области от 7 июня 2010 года N 94-ОЗ "О физической культуре и спорте в Томской области", подпункта 8 пункта 9 раздела 2 </w:t>
      </w:r>
      <w:r>
        <w:rPr>
          <w:sz w:val="24"/>
        </w:rPr>
        <w:t xml:space="preserve">Положения</w:t>
      </w:r>
      <w:r>
        <w:rPr>
          <w:sz w:val="24"/>
        </w:rPr>
        <w:t xml:space="preserve"> о Департаменте спорта Томской области, утвержденного постановлением Губернатора Томской области от 27.02.2024 N 13 "Об утверждении Положения о Департаменте спорта Томской области".</w:t>
      </w:r>
    </w:p>
    <w:p>
      <w:pPr>
        <w:pStyle w:val="0"/>
        <w:spacing w:before="240" w:line-rule="auto"/>
        <w:ind w:firstLine="540"/>
        <w:jc w:val="both"/>
      </w:pPr>
      <w:r>
        <w:rPr>
          <w:sz w:val="24"/>
        </w:rPr>
        <w:t xml:space="preserve">3. Заявителями на получение государственной услуги являются региональные спортивные федерации по видам спорта, в лице представителей в силу полномочий, основанных на доверенности или договоре.</w:t>
      </w:r>
    </w:p>
    <w:p>
      <w:pPr>
        <w:pStyle w:val="0"/>
        <w:spacing w:before="240" w:line-rule="auto"/>
        <w:ind w:firstLine="540"/>
        <w:jc w:val="both"/>
      </w:pPr>
      <w:r>
        <w:rPr>
          <w:sz w:val="24"/>
        </w:rPr>
        <w:t xml:space="preserve">4. Порядок информирования о предоставлении государственной услуги:</w:t>
      </w:r>
    </w:p>
    <w:p>
      <w:pPr>
        <w:pStyle w:val="0"/>
        <w:spacing w:before="240" w:line-rule="auto"/>
        <w:ind w:firstLine="540"/>
        <w:jc w:val="both"/>
      </w:pPr>
      <w:r>
        <w:rPr>
          <w:sz w:val="24"/>
        </w:rPr>
        <w:t xml:space="preserve">1) место нахождения Департамента: 634029, г. Томск, ул. Герцена, д. 8;</w:t>
      </w:r>
    </w:p>
    <w:p>
      <w:pPr>
        <w:pStyle w:val="0"/>
        <w:spacing w:before="240" w:line-rule="auto"/>
        <w:ind w:firstLine="540"/>
        <w:jc w:val="both"/>
      </w:pPr>
      <w:r>
        <w:rPr>
          <w:sz w:val="24"/>
        </w:rPr>
        <w:t xml:space="preserve">2) график работы Департамента:</w:t>
      </w:r>
    </w:p>
    <w:p>
      <w:pPr>
        <w:pStyle w:val="0"/>
        <w:spacing w:before="240" w:line-rule="auto"/>
        <w:ind w:firstLine="540"/>
        <w:jc w:val="both"/>
      </w:pPr>
      <w:r>
        <w:rPr>
          <w:sz w:val="24"/>
        </w:rPr>
        <w:t xml:space="preserve">понедельник с 09:00 до 18:00 час.;</w:t>
      </w:r>
    </w:p>
    <w:p>
      <w:pPr>
        <w:pStyle w:val="0"/>
        <w:spacing w:before="240" w:line-rule="auto"/>
        <w:ind w:firstLine="540"/>
        <w:jc w:val="both"/>
      </w:pPr>
      <w:r>
        <w:rPr>
          <w:sz w:val="24"/>
        </w:rPr>
        <w:t xml:space="preserve">вторник - четверг с 08:45 до 18:00 час.;</w:t>
      </w:r>
    </w:p>
    <w:p>
      <w:pPr>
        <w:pStyle w:val="0"/>
        <w:spacing w:before="240" w:line-rule="auto"/>
        <w:ind w:firstLine="540"/>
        <w:jc w:val="both"/>
      </w:pPr>
      <w:r>
        <w:rPr>
          <w:sz w:val="24"/>
        </w:rPr>
        <w:t xml:space="preserve">пятница с 08:45 до 17:00 час.;</w:t>
      </w:r>
    </w:p>
    <w:p>
      <w:pPr>
        <w:pStyle w:val="0"/>
        <w:spacing w:before="240" w:line-rule="auto"/>
        <w:ind w:firstLine="540"/>
        <w:jc w:val="both"/>
      </w:pPr>
      <w:r>
        <w:rPr>
          <w:sz w:val="24"/>
        </w:rPr>
        <w:t xml:space="preserve">перерыв для отдыха и питания с 12:30 до 13:30 час.;</w:t>
      </w:r>
    </w:p>
    <w:p>
      <w:pPr>
        <w:pStyle w:val="0"/>
        <w:spacing w:before="240" w:line-rule="auto"/>
        <w:ind w:firstLine="540"/>
        <w:jc w:val="both"/>
      </w:pPr>
      <w:r>
        <w:rPr>
          <w:sz w:val="24"/>
        </w:rPr>
        <w:t xml:space="preserve">выходные дни: суббота и воскресенье;</w:t>
      </w:r>
    </w:p>
    <w:p>
      <w:pPr>
        <w:pStyle w:val="0"/>
        <w:spacing w:before="240" w:line-rule="auto"/>
        <w:ind w:firstLine="540"/>
        <w:jc w:val="both"/>
      </w:pPr>
      <w:r>
        <w:rPr>
          <w:sz w:val="24"/>
        </w:rPr>
        <w:t xml:space="preserve">3) прием документов ведется специалистом Департамента, ответственным за предоставление государственной услуги:</w:t>
      </w:r>
    </w:p>
    <w:p>
      <w:pPr>
        <w:pStyle w:val="0"/>
        <w:spacing w:before="240" w:line-rule="auto"/>
        <w:ind w:firstLine="540"/>
        <w:jc w:val="both"/>
      </w:pPr>
      <w:r>
        <w:rPr>
          <w:sz w:val="24"/>
        </w:rPr>
        <w:t xml:space="preserve">понедельник - пятница с 09:00 до 12:00 час.;</w:t>
      </w:r>
    </w:p>
    <w:p>
      <w:pPr>
        <w:pStyle w:val="0"/>
        <w:spacing w:before="240" w:line-rule="auto"/>
        <w:ind w:firstLine="540"/>
        <w:jc w:val="both"/>
      </w:pPr>
      <w:r>
        <w:rPr>
          <w:sz w:val="24"/>
        </w:rPr>
        <w:t xml:space="preserve">4) информация о месте нахождения, графике работы, контактных телефонах, адресе электронной почты специалиста Департамента, ответственного за предоставление государственной услуги, а также информация о порядке предоставления государственной услуги размещена на интернет-ресурсе Департамента на едином информационном интернет-портале Администрации Томской области: www.tomsk.gov.ru, на сайте Департамента по адресу в информационно-телекоммуникационной сети "Интернет" (далее - сети "Интернет"): www.sport.tomsk.gov.ru и в федеральной государственной информационной системе "Единый портал государственных и муниципальных услуг (функций) (далее - Портал) по адресу в сети "Интернет": www.gosuslugi.ru;</w:t>
      </w:r>
    </w:p>
    <w:p>
      <w:pPr>
        <w:pStyle w:val="0"/>
        <w:spacing w:before="240" w:line-rule="auto"/>
        <w:ind w:firstLine="540"/>
        <w:jc w:val="both"/>
      </w:pPr>
      <w:r>
        <w:rPr>
          <w:sz w:val="24"/>
        </w:rPr>
        <w:t xml:space="preserve">5) адрес электронной почты Департамента: dep-sport@tomsk.gov.ru;</w:t>
      </w:r>
    </w:p>
    <w:p>
      <w:pPr>
        <w:pStyle w:val="0"/>
        <w:spacing w:before="240" w:line-rule="auto"/>
        <w:ind w:firstLine="540"/>
        <w:jc w:val="both"/>
      </w:pPr>
      <w:r>
        <w:rPr>
          <w:sz w:val="24"/>
        </w:rPr>
        <w:t xml:space="preserve">5. Условия информирования о предоставлении государственной услуги:</w:t>
      </w:r>
    </w:p>
    <w:p>
      <w:pPr>
        <w:pStyle w:val="0"/>
        <w:spacing w:before="240" w:line-rule="auto"/>
        <w:ind w:firstLine="540"/>
        <w:jc w:val="both"/>
      </w:pPr>
      <w:r>
        <w:rPr>
          <w:sz w:val="24"/>
        </w:rPr>
        <w:t xml:space="preserve">На Портале, сайте Департамента размещается следующая информация:</w:t>
      </w:r>
    </w:p>
    <w:p>
      <w:pPr>
        <w:pStyle w:val="0"/>
        <w:spacing w:before="240" w:line-rule="auto"/>
        <w:ind w:firstLine="540"/>
        <w:jc w:val="both"/>
      </w:pPr>
      <w:r>
        <w:rPr>
          <w:sz w:val="24"/>
        </w:rPr>
        <w:t xml:space="preserve">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pPr>
        <w:pStyle w:val="0"/>
        <w:spacing w:before="240" w:line-rule="auto"/>
        <w:ind w:firstLine="540"/>
        <w:jc w:val="both"/>
      </w:pPr>
      <w:r>
        <w:rPr>
          <w:sz w:val="24"/>
        </w:rPr>
        <w:t xml:space="preserve">2) круг заявителей;</w:t>
      </w:r>
    </w:p>
    <w:p>
      <w:pPr>
        <w:pStyle w:val="0"/>
        <w:spacing w:before="240" w:line-rule="auto"/>
        <w:ind w:firstLine="540"/>
        <w:jc w:val="both"/>
      </w:pPr>
      <w:r>
        <w:rPr>
          <w:sz w:val="24"/>
        </w:rPr>
        <w:t xml:space="preserve">3) срок предоставления государственной услуги;</w:t>
      </w:r>
    </w:p>
    <w:p>
      <w:pPr>
        <w:pStyle w:val="0"/>
        <w:spacing w:before="240" w:line-rule="auto"/>
        <w:ind w:firstLine="540"/>
        <w:jc w:val="both"/>
      </w:pPr>
      <w:r>
        <w:rPr>
          <w:sz w:val="24"/>
        </w:rPr>
        <w:t xml:space="preserve">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pPr>
        <w:pStyle w:val="0"/>
        <w:spacing w:before="240" w:line-rule="auto"/>
        <w:ind w:firstLine="540"/>
        <w:jc w:val="both"/>
      </w:pPr>
      <w:r>
        <w:rPr>
          <w:sz w:val="24"/>
        </w:rPr>
        <w:t xml:space="preserve">5) исчерпывающий перечень оснований для отказа в предоставлении государственной услуги;</w:t>
      </w:r>
    </w:p>
    <w:p>
      <w:pPr>
        <w:pStyle w:val="0"/>
        <w:spacing w:before="240" w:line-rule="auto"/>
        <w:ind w:firstLine="540"/>
        <w:jc w:val="both"/>
      </w:pPr>
      <w:r>
        <w:rPr>
          <w:sz w:val="24"/>
        </w:rPr>
        <w:t xml:space="preserve">6) о порядке досудебного (внесудебного) обжалования действий (бездействия) и решений, принятых (осуществляемых) в ходе предоставления государственной услуги;</w:t>
      </w:r>
    </w:p>
    <w:p>
      <w:pPr>
        <w:pStyle w:val="0"/>
        <w:spacing w:before="240" w:line-rule="auto"/>
        <w:ind w:firstLine="540"/>
        <w:jc w:val="both"/>
      </w:pPr>
      <w:r>
        <w:rPr>
          <w:sz w:val="24"/>
        </w:rPr>
        <w:t xml:space="preserve">7) формы заявлений (уведомлений, сообщений), используемые при предоставлении государственной услуги.</w:t>
      </w:r>
    </w:p>
    <w:p>
      <w:pPr>
        <w:pStyle w:val="0"/>
        <w:spacing w:before="240" w:line-rule="auto"/>
        <w:ind w:firstLine="540"/>
        <w:jc w:val="both"/>
      </w:pPr>
      <w:r>
        <w:rPr>
          <w:sz w:val="24"/>
        </w:rPr>
        <w:t xml:space="preserve">Информация на Портале,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pPr>
        <w:pStyle w:val="0"/>
        <w:spacing w:before="240" w:line-rule="auto"/>
        <w:ind w:firstLine="540"/>
        <w:jc w:val="both"/>
      </w:pPr>
      <w:r>
        <w:rPr>
          <w:sz w:val="24"/>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pPr>
        <w:pStyle w:val="0"/>
        <w:spacing w:before="240" w:line-rule="auto"/>
        <w:ind w:firstLine="540"/>
        <w:jc w:val="both"/>
      </w:pPr>
      <w:r>
        <w:rPr>
          <w:sz w:val="24"/>
        </w:rPr>
        <w:t xml:space="preserve">Также информацию по вопросам предоставления государственной услуги можно получить:</w:t>
      </w:r>
    </w:p>
    <w:p>
      <w:pPr>
        <w:pStyle w:val="0"/>
        <w:spacing w:before="240" w:line-rule="auto"/>
        <w:ind w:firstLine="540"/>
        <w:jc w:val="both"/>
      </w:pPr>
      <w:r>
        <w:rPr>
          <w:sz w:val="24"/>
        </w:rPr>
        <w:t xml:space="preserve">посредством личного обращения в часы приема;</w:t>
      </w:r>
    </w:p>
    <w:p>
      <w:pPr>
        <w:pStyle w:val="0"/>
        <w:spacing w:before="240" w:line-rule="auto"/>
        <w:ind w:firstLine="540"/>
        <w:jc w:val="both"/>
      </w:pPr>
      <w:r>
        <w:rPr>
          <w:sz w:val="24"/>
        </w:rPr>
        <w:t xml:space="preserve">по телефону специалиста комитета физической культуры, спорта и цифрового развития ответственного за предоставление государственной услуги: (3822) 53-16-44;</w:t>
      </w:r>
    </w:p>
    <w:p>
      <w:pPr>
        <w:pStyle w:val="0"/>
        <w:spacing w:before="240" w:line-rule="auto"/>
        <w:ind w:firstLine="540"/>
        <w:jc w:val="both"/>
      </w:pPr>
      <w:r>
        <w:rPr>
          <w:sz w:val="24"/>
        </w:rPr>
        <w:t xml:space="preserve">при обращении в многофункциональный центр (в случае заключения соглашения о взаимодействии).</w:t>
      </w:r>
    </w:p>
    <w:p>
      <w:pPr>
        <w:pStyle w:val="0"/>
        <w:spacing w:before="240" w:line-rule="auto"/>
        <w:ind w:firstLine="540"/>
        <w:jc w:val="both"/>
      </w:pPr>
      <w:r>
        <w:rPr>
          <w:sz w:val="24"/>
        </w:rPr>
        <w:t xml:space="preserve">6. Консультации о предоставлении государственной услуги предоставляются по следующим вопросам:</w:t>
      </w:r>
    </w:p>
    <w:p>
      <w:pPr>
        <w:pStyle w:val="0"/>
        <w:spacing w:before="240" w:line-rule="auto"/>
        <w:ind w:firstLine="540"/>
        <w:jc w:val="both"/>
      </w:pPr>
      <w:r>
        <w:rPr>
          <w:sz w:val="24"/>
        </w:rPr>
        <w:t xml:space="preserve">1) перечень документов, необходимых для предоставления государственной услуги, комплектности (достаточности) представленных документов;</w:t>
      </w:r>
    </w:p>
    <w:p>
      <w:pPr>
        <w:pStyle w:val="0"/>
        <w:spacing w:before="240" w:line-rule="auto"/>
        <w:ind w:firstLine="540"/>
        <w:jc w:val="both"/>
      </w:pPr>
      <w:r>
        <w:rPr>
          <w:sz w:val="24"/>
        </w:rPr>
        <w:t xml:space="preserve">2) источник получения документов, необходимых для предоставления государственной услуги (орган, организация и их местонахождение);</w:t>
      </w:r>
    </w:p>
    <w:p>
      <w:pPr>
        <w:pStyle w:val="0"/>
        <w:spacing w:before="240" w:line-rule="auto"/>
        <w:ind w:firstLine="540"/>
        <w:jc w:val="both"/>
      </w:pPr>
      <w:r>
        <w:rPr>
          <w:sz w:val="24"/>
        </w:rPr>
        <w:t xml:space="preserve">3) время приема и выдачи документов;</w:t>
      </w:r>
    </w:p>
    <w:p>
      <w:pPr>
        <w:pStyle w:val="0"/>
        <w:spacing w:before="240" w:line-rule="auto"/>
        <w:ind w:firstLine="540"/>
        <w:jc w:val="both"/>
      </w:pPr>
      <w:r>
        <w:rPr>
          <w:sz w:val="24"/>
        </w:rPr>
        <w:t xml:space="preserve">4) сроки подачи документов, необходимых для предоставления государственной услуги;</w:t>
      </w:r>
    </w:p>
    <w:p>
      <w:pPr>
        <w:pStyle w:val="0"/>
        <w:spacing w:before="240" w:line-rule="auto"/>
        <w:ind w:firstLine="540"/>
        <w:jc w:val="both"/>
      </w:pPr>
      <w:r>
        <w:rPr>
          <w:sz w:val="24"/>
        </w:rPr>
        <w:t xml:space="preserve">5) срок предоставления государственной услуги;</w:t>
      </w:r>
    </w:p>
    <w:p>
      <w:pPr>
        <w:pStyle w:val="0"/>
        <w:spacing w:before="240" w:line-rule="auto"/>
        <w:ind w:firstLine="540"/>
        <w:jc w:val="both"/>
      </w:pPr>
      <w:r>
        <w:rPr>
          <w:sz w:val="24"/>
        </w:rPr>
        <w:t xml:space="preserve">6) порядок обжалования действий (бездействия) и решений, осуществляемых и принимаемых в ходе предоставления государственной услуги.</w:t>
      </w:r>
    </w:p>
    <w:p>
      <w:pPr>
        <w:pStyle w:val="0"/>
        <w:jc w:val="both"/>
      </w:pPr>
      <w:r>
        <w:rPr>
          <w:sz w:val="24"/>
        </w:rPr>
      </w:r>
    </w:p>
    <w:p>
      <w:pPr>
        <w:pStyle w:val="2"/>
        <w:outlineLvl w:val="1"/>
        <w:jc w:val="center"/>
      </w:pPr>
      <w:r>
        <w:rPr>
          <w:sz w:val="24"/>
        </w:rPr>
        <w:t xml:space="preserve">2. Стандарт предоставления государственной услуги</w:t>
      </w:r>
    </w:p>
    <w:p>
      <w:pPr>
        <w:pStyle w:val="0"/>
        <w:jc w:val="both"/>
      </w:pPr>
      <w:r>
        <w:rPr>
          <w:sz w:val="24"/>
        </w:rPr>
      </w:r>
    </w:p>
    <w:p>
      <w:pPr>
        <w:pStyle w:val="0"/>
        <w:ind w:firstLine="540"/>
        <w:jc w:val="both"/>
      </w:pPr>
      <w:r>
        <w:rPr>
          <w:sz w:val="24"/>
        </w:rPr>
        <w:t xml:space="preserve">7. Наименование государственной услуги: "Наделение статусом "Спортивная сборная команда Томской области".</w:t>
      </w:r>
    </w:p>
    <w:p>
      <w:pPr>
        <w:pStyle w:val="0"/>
        <w:spacing w:before="240" w:line-rule="auto"/>
        <w:ind w:firstLine="540"/>
        <w:jc w:val="both"/>
      </w:pPr>
      <w:r>
        <w:rPr>
          <w:sz w:val="24"/>
        </w:rPr>
        <w:t xml:space="preserve">8. Наименование органа, предоставляющего государственную услугу: Департамент спорта Томской области.</w:t>
      </w:r>
    </w:p>
    <w:p>
      <w:pPr>
        <w:pStyle w:val="0"/>
        <w:spacing w:before="240" w:line-rule="auto"/>
        <w:ind w:firstLine="540"/>
        <w:jc w:val="both"/>
      </w:pPr>
      <w:r>
        <w:rPr>
          <w:sz w:val="24"/>
        </w:rPr>
        <w:t xml:space="preserve">9. Результат предоставления государственной услуги: утверждение распоряжением Департамента списков спортивных сборных команд Томской области для участия в межрегиональных и во всероссийских официальных спортивных соревнованиях.</w:t>
      </w:r>
    </w:p>
    <w:p>
      <w:pPr>
        <w:pStyle w:val="0"/>
        <w:spacing w:before="240" w:line-rule="auto"/>
        <w:ind w:firstLine="540"/>
        <w:jc w:val="both"/>
      </w:pPr>
      <w:r>
        <w:rPr>
          <w:sz w:val="24"/>
        </w:rPr>
        <w:t xml:space="preserve">10. Срок предоставления государственной услуги: максимальный срок предоставления государственной услуги не превышает 8 рабочих дней со дня обращения заявителя в Департамент.</w:t>
      </w:r>
    </w:p>
    <w:p>
      <w:pPr>
        <w:pStyle w:val="0"/>
        <w:spacing w:before="240" w:line-rule="auto"/>
        <w:ind w:firstLine="540"/>
        <w:jc w:val="both"/>
      </w:pPr>
      <w:r>
        <w:rPr>
          <w:sz w:val="24"/>
        </w:rPr>
        <w:t xml:space="preserve">11. Правовые основания для предоставления государственной услуги:</w:t>
      </w:r>
    </w:p>
    <w:p>
      <w:pPr>
        <w:pStyle w:val="0"/>
        <w:spacing w:before="240" w:line-rule="auto"/>
        <w:ind w:firstLine="540"/>
        <w:jc w:val="both"/>
      </w:pPr>
      <w:r>
        <w:rPr>
          <w:sz w:val="24"/>
        </w:rPr>
        <w:t xml:space="preserve">1) Федеральный </w:t>
      </w:r>
      <w:r>
        <w:rPr>
          <w:sz w:val="24"/>
        </w:rPr>
        <w:t xml:space="preserve">закон</w:t>
      </w:r>
      <w:r>
        <w:rPr>
          <w:sz w:val="24"/>
        </w:rPr>
        <w:t xml:space="preserve"> от 27 июля 2010 года N 210-ФЗ "Об организации предоставления государственных и муниципальных услуг";</w:t>
      </w:r>
    </w:p>
    <w:p>
      <w:pPr>
        <w:pStyle w:val="0"/>
        <w:spacing w:before="240" w:line-rule="auto"/>
        <w:ind w:firstLine="540"/>
        <w:jc w:val="both"/>
      </w:pPr>
      <w:r>
        <w:rPr>
          <w:sz w:val="24"/>
        </w:rPr>
        <w:t xml:space="preserve">2) Федеральный </w:t>
      </w:r>
      <w:r>
        <w:rPr>
          <w:sz w:val="24"/>
        </w:rPr>
        <w:t xml:space="preserve">закон</w:t>
      </w:r>
      <w:r>
        <w:rPr>
          <w:sz w:val="24"/>
        </w:rPr>
        <w:t xml:space="preserve"> от 4 декабря 2007 года N 329-ФЗ "О физической культуре и спорте в Российской Федерации";</w:t>
      </w:r>
    </w:p>
    <w:p>
      <w:pPr>
        <w:pStyle w:val="0"/>
        <w:spacing w:before="240" w:line-rule="auto"/>
        <w:ind w:firstLine="540"/>
        <w:jc w:val="both"/>
      </w:pPr>
      <w:r>
        <w:rPr>
          <w:sz w:val="24"/>
        </w:rPr>
        <w:t xml:space="preserve">3) </w:t>
      </w:r>
      <w:r>
        <w:rPr>
          <w:sz w:val="24"/>
        </w:rPr>
        <w:t xml:space="preserve">Закон</w:t>
      </w:r>
      <w:r>
        <w:rPr>
          <w:sz w:val="24"/>
        </w:rPr>
        <w:t xml:space="preserve"> Томской области от 07.06.2010 N 94-ОЗ "О физической культуре и спорте в Томской области";</w:t>
      </w:r>
    </w:p>
    <w:p>
      <w:pPr>
        <w:pStyle w:val="0"/>
        <w:spacing w:before="240" w:line-rule="auto"/>
        <w:ind w:firstLine="540"/>
        <w:jc w:val="both"/>
      </w:pPr>
      <w:r>
        <w:rPr>
          <w:sz w:val="24"/>
        </w:rPr>
        <w:t xml:space="preserve">4) </w:t>
      </w:r>
      <w:r>
        <w:rPr>
          <w:sz w:val="24"/>
        </w:rPr>
        <w:t xml:space="preserve">приказ</w:t>
      </w:r>
      <w:r>
        <w:rPr>
          <w:sz w:val="24"/>
        </w:rPr>
        <w:t xml:space="preserve"> Департамента спорта Томской области от 25.04.2024 N 21 "О Порядке формирования спортивных сборных команд Томской области".</w:t>
      </w:r>
    </w:p>
    <w:bookmarkStart w:id="85" w:name="P85"/>
    <w:bookmarkEnd w:id="85"/>
    <w:p>
      <w:pPr>
        <w:pStyle w:val="0"/>
        <w:spacing w:before="240" w:line-rule="auto"/>
        <w:ind w:firstLine="540"/>
        <w:jc w:val="both"/>
      </w:pPr>
      <w:r>
        <w:rPr>
          <w:sz w:val="24"/>
        </w:rPr>
        <w:t xml:space="preserve">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t>
      </w:r>
      <w:hyperlink w:history="0" w:anchor="P192" w:tooltip="                                  СПИСОК">
        <w:r>
          <w:rPr>
            <w:sz w:val="24"/>
            <w:color w:val="0000ff"/>
          </w:rPr>
          <w:t xml:space="preserve">список</w:t>
        </w:r>
      </w:hyperlink>
      <w:r>
        <w:rPr>
          <w:sz w:val="24"/>
        </w:rPr>
        <w:t xml:space="preserve"> спортивной сборной команды Томской области по виду спорта (далее - Список) в 2-х экземплярах (один из них на электронном носителе), подписанный руководителем региональной спортивной федерации, действующим в соответствии с законом, иными правовыми актами и учредительными документами без доверенности, представителем в силу полномочий, основанных на доверенности или договоре и скрепленный печатью (Приложение N 1 к настоящему Регламенту).</w:t>
      </w:r>
    </w:p>
    <w:p>
      <w:pPr>
        <w:pStyle w:val="0"/>
        <w:spacing w:before="240" w:line-rule="auto"/>
        <w:ind w:firstLine="540"/>
        <w:jc w:val="both"/>
      </w:pPr>
      <w:r>
        <w:rPr>
          <w:sz w:val="24"/>
        </w:rPr>
        <w:t xml:space="preserve">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отсутствуют.</w:t>
      </w:r>
    </w:p>
    <w:p>
      <w:pPr>
        <w:pStyle w:val="0"/>
        <w:spacing w:before="240" w:line-rule="auto"/>
        <w:ind w:firstLine="540"/>
        <w:jc w:val="both"/>
      </w:pPr>
      <w:r>
        <w:rPr>
          <w:sz w:val="24"/>
        </w:rPr>
        <w:t xml:space="preserve">Специалисту Департамента, ответственному за предоставление государственной услуги запрещается:</w:t>
      </w:r>
    </w:p>
    <w:p>
      <w:pPr>
        <w:pStyle w:val="0"/>
        <w:spacing w:before="240" w:line-rule="auto"/>
        <w:ind w:firstLine="540"/>
        <w:jc w:val="both"/>
      </w:pPr>
      <w:r>
        <w:rPr>
          <w:sz w:val="24"/>
        </w:rPr>
        <w:t xml:space="preserve">отказывать в приеме документов, необходимых для предоставления государственной услуги, в случае, если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Портале;</w:t>
      </w:r>
    </w:p>
    <w:p>
      <w:pPr>
        <w:pStyle w:val="0"/>
        <w:spacing w:before="240" w:line-rule="auto"/>
        <w:ind w:firstLine="540"/>
        <w:jc w:val="both"/>
      </w:pPr>
      <w:r>
        <w:rPr>
          <w:sz w:val="24"/>
        </w:rPr>
        <w:t xml:space="preserve">отказывать в предоставлении государственной услуги в случае, если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Портале;</w:t>
      </w:r>
    </w:p>
    <w:p>
      <w:pPr>
        <w:pStyle w:val="0"/>
        <w:spacing w:before="240" w:line-rule="auto"/>
        <w:ind w:firstLine="540"/>
        <w:jc w:val="both"/>
      </w:pPr>
      <w:r>
        <w:rPr>
          <w:sz w:val="24"/>
        </w:rPr>
        <w:t xml:space="preserve">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pPr>
        <w:pStyle w:val="0"/>
        <w:spacing w:before="240" w:line-rule="auto"/>
        <w:ind w:firstLine="540"/>
        <w:jc w:val="both"/>
      </w:pPr>
      <w:r>
        <w:rPr>
          <w:sz w:val="24"/>
        </w:rPr>
        <w:t xml:space="preserve">требовать от заявителя предоставления документов, подтверждающих внесение заявителем платы за предоставление государственной услуги.</w:t>
      </w:r>
    </w:p>
    <w:bookmarkStart w:id="92" w:name="P92"/>
    <w:bookmarkEnd w:id="92"/>
    <w:p>
      <w:pPr>
        <w:pStyle w:val="0"/>
        <w:spacing w:before="240" w:line-rule="auto"/>
        <w:ind w:firstLine="540"/>
        <w:jc w:val="both"/>
      </w:pPr>
      <w:r>
        <w:rPr>
          <w:sz w:val="24"/>
        </w:rPr>
        <w:t xml:space="preserve">13. Исчерпывающий перечень оснований для отказа в приеме документов, необходимых для предоставления государственной услуги:</w:t>
      </w:r>
    </w:p>
    <w:p>
      <w:pPr>
        <w:pStyle w:val="0"/>
        <w:spacing w:before="240" w:line-rule="auto"/>
        <w:ind w:firstLine="540"/>
        <w:jc w:val="both"/>
      </w:pPr>
      <w:r>
        <w:rPr>
          <w:sz w:val="24"/>
        </w:rPr>
        <w:t xml:space="preserve">1) в представленных документах присутствуют исправления, зачеркнутые слова;</w:t>
      </w:r>
    </w:p>
    <w:p>
      <w:pPr>
        <w:pStyle w:val="0"/>
        <w:spacing w:before="240" w:line-rule="auto"/>
        <w:ind w:firstLine="540"/>
        <w:jc w:val="both"/>
      </w:pPr>
      <w:r>
        <w:rPr>
          <w:sz w:val="24"/>
        </w:rPr>
        <w:t xml:space="preserve">2) документы не заверены подписью и (или) печатью заявителя.</w:t>
      </w:r>
    </w:p>
    <w:bookmarkStart w:id="95" w:name="P95"/>
    <w:bookmarkEnd w:id="95"/>
    <w:p>
      <w:pPr>
        <w:pStyle w:val="0"/>
        <w:spacing w:before="240" w:line-rule="auto"/>
        <w:ind w:firstLine="540"/>
        <w:jc w:val="both"/>
      </w:pPr>
      <w:r>
        <w:rPr>
          <w:sz w:val="24"/>
        </w:rPr>
        <w:t xml:space="preserve">14. Исчерпывающий перечень оснований для отказа в предоставлении государственной услуги:</w:t>
      </w:r>
    </w:p>
    <w:p>
      <w:pPr>
        <w:pStyle w:val="0"/>
        <w:spacing w:before="240" w:line-rule="auto"/>
        <w:ind w:firstLine="540"/>
        <w:jc w:val="both"/>
      </w:pPr>
      <w:r>
        <w:rPr>
          <w:sz w:val="24"/>
        </w:rPr>
        <w:t xml:space="preserve">1) представление документов, оформленных с нарушением требований </w:t>
      </w:r>
      <w:hyperlink w:history="0" w:anchor="P85"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писок спортивной сборной команды Томской области по виду спорта (далее - Спи...">
        <w:r>
          <w:rPr>
            <w:sz w:val="24"/>
            <w:color w:val="0000ff"/>
          </w:rPr>
          <w:t xml:space="preserve">пункта 12</w:t>
        </w:r>
      </w:hyperlink>
      <w:r>
        <w:rPr>
          <w:sz w:val="24"/>
        </w:rPr>
        <w:t xml:space="preserve"> настоящего Регламента;</w:t>
      </w:r>
    </w:p>
    <w:p>
      <w:pPr>
        <w:pStyle w:val="0"/>
        <w:spacing w:before="240" w:line-rule="auto"/>
        <w:ind w:firstLine="540"/>
        <w:jc w:val="both"/>
      </w:pPr>
      <w:r>
        <w:rPr>
          <w:sz w:val="24"/>
        </w:rPr>
        <w:t xml:space="preserve">2) представление документов с нарушением срока, установленного </w:t>
      </w:r>
      <w:hyperlink w:history="0" w:anchor="P143" w:tooltip="3) специалист, ответственный за предоставление государственной услуги, принимает на рассмотрение документы, предусмотренные пунктом 12 настоящего Регламента, не позднее 10 рабочих дней до начала официального межрегионального, всероссийского спортивного соревнования (включая дни приезда). Специалист, ответственный за предоставление государственной услуги, отказывает в приеме документов в случаях предусмотренных пунктом 13 настоящего Регламента.">
        <w:r>
          <w:rPr>
            <w:sz w:val="24"/>
            <w:color w:val="0000ff"/>
          </w:rPr>
          <w:t xml:space="preserve">подпунктом 3 пункта 24</w:t>
        </w:r>
      </w:hyperlink>
      <w:r>
        <w:rPr>
          <w:sz w:val="24"/>
        </w:rPr>
        <w:t xml:space="preserve"> настоящего Регламента.</w:t>
      </w:r>
    </w:p>
    <w:p>
      <w:pPr>
        <w:pStyle w:val="0"/>
        <w:spacing w:before="240" w:line-rule="auto"/>
        <w:ind w:firstLine="540"/>
        <w:jc w:val="both"/>
      </w:pPr>
      <w:r>
        <w:rPr>
          <w:sz w:val="24"/>
        </w:rPr>
        <w:t xml:space="preserve">15. Предоставление государственной услуги осуществляется бесплатно.</w:t>
      </w:r>
    </w:p>
    <w:p>
      <w:pPr>
        <w:pStyle w:val="0"/>
        <w:spacing w:before="240" w:line-rule="auto"/>
        <w:ind w:firstLine="540"/>
        <w:jc w:val="both"/>
      </w:pPr>
      <w:r>
        <w:rPr>
          <w:sz w:val="24"/>
        </w:rPr>
        <w:t xml:space="preserve">16. Максимальный срок ожидания в очереди при подаче запроса о предоставлении государственной услуги: не более 15 минут.</w:t>
      </w:r>
    </w:p>
    <w:p>
      <w:pPr>
        <w:pStyle w:val="0"/>
        <w:spacing w:before="240" w:line-rule="auto"/>
        <w:ind w:firstLine="540"/>
        <w:jc w:val="both"/>
      </w:pPr>
      <w:r>
        <w:rPr>
          <w:sz w:val="24"/>
        </w:rPr>
        <w:t xml:space="preserve">17. Максимальный срок ожидания в очереди при получении результата предоставления государственной услуги: не более 15 минут.</w:t>
      </w:r>
    </w:p>
    <w:p>
      <w:pPr>
        <w:pStyle w:val="0"/>
        <w:spacing w:before="240" w:line-rule="auto"/>
        <w:ind w:firstLine="540"/>
        <w:jc w:val="both"/>
      </w:pPr>
      <w:r>
        <w:rPr>
          <w:sz w:val="24"/>
        </w:rPr>
        <w:t xml:space="preserve">18. Срок регистрации запроса заявителя о предоставлении государственной услуги: в течение одного рабочего дня, следующего за днем поступления запроса.</w:t>
      </w:r>
    </w:p>
    <w:p>
      <w:pPr>
        <w:pStyle w:val="0"/>
        <w:spacing w:before="240" w:line-rule="auto"/>
        <w:ind w:firstLine="540"/>
        <w:jc w:val="both"/>
      </w:pPr>
      <w:r>
        <w:rPr>
          <w:sz w:val="24"/>
        </w:rPr>
        <w:t xml:space="preserve">19. Требования к помещениям, в которых предоставляются государственные услуги,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pPr>
        <w:pStyle w:val="0"/>
        <w:spacing w:before="240" w:line-rule="auto"/>
        <w:ind w:firstLine="540"/>
        <w:jc w:val="both"/>
      </w:pPr>
      <w:r>
        <w:rPr>
          <w:sz w:val="24"/>
        </w:rPr>
        <w:t xml:space="preserve">1) здание Департамента оборудовано отдельным входом для свободного доступа в помещение;</w:t>
      </w:r>
    </w:p>
    <w:p>
      <w:pPr>
        <w:pStyle w:val="0"/>
        <w:spacing w:before="240" w:line-rule="auto"/>
        <w:ind w:firstLine="540"/>
        <w:jc w:val="both"/>
      </w:pPr>
      <w:r>
        <w:rPr>
          <w:sz w:val="24"/>
        </w:rPr>
        <w:t xml:space="preserve">2) вход в здание оборудован информационной табличкой (вывеской) с указанием наименования Департамента;</w:t>
      </w:r>
    </w:p>
    <w:p>
      <w:pPr>
        <w:pStyle w:val="0"/>
        <w:spacing w:before="240" w:line-rule="auto"/>
        <w:ind w:firstLine="540"/>
        <w:jc w:val="both"/>
      </w:pPr>
      <w:r>
        <w:rPr>
          <w:sz w:val="24"/>
        </w:rPr>
        <w:t xml:space="preserve">3) 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w:t>
      </w:r>
    </w:p>
    <w:p>
      <w:pPr>
        <w:pStyle w:val="0"/>
        <w:spacing w:before="240" w:line-rule="auto"/>
        <w:ind w:firstLine="540"/>
        <w:jc w:val="both"/>
      </w:pPr>
      <w:r>
        <w:rPr>
          <w:sz w:val="24"/>
        </w:rPr>
        <w:t xml:space="preserve">4) у входа в каждое из помещений Департамента размещается табличка с фамилией, именем, отчеством (при наличии последнего) и наименованием должности каждого специалиста;</w:t>
      </w:r>
    </w:p>
    <w:p>
      <w:pPr>
        <w:pStyle w:val="0"/>
        <w:spacing w:before="240" w:line-rule="auto"/>
        <w:ind w:firstLine="540"/>
        <w:jc w:val="both"/>
      </w:pPr>
      <w:r>
        <w:rPr>
          <w:sz w:val="24"/>
        </w:rPr>
        <w:t xml:space="preserve">5) присутственные места оборудованы:</w:t>
      </w:r>
    </w:p>
    <w:p>
      <w:pPr>
        <w:pStyle w:val="0"/>
        <w:spacing w:before="240" w:line-rule="auto"/>
        <w:ind w:firstLine="540"/>
        <w:jc w:val="both"/>
      </w:pPr>
      <w:r>
        <w:rPr>
          <w:sz w:val="24"/>
        </w:rPr>
        <w:t xml:space="preserve">системой кондиционирования воздуха;</w:t>
      </w:r>
    </w:p>
    <w:p>
      <w:pPr>
        <w:pStyle w:val="0"/>
        <w:spacing w:before="240" w:line-rule="auto"/>
        <w:ind w:firstLine="540"/>
        <w:jc w:val="both"/>
      </w:pPr>
      <w:r>
        <w:rPr>
          <w:sz w:val="24"/>
        </w:rPr>
        <w:t xml:space="preserve">противопожарной системой и средствами пожаротушения;</w:t>
      </w:r>
    </w:p>
    <w:p>
      <w:pPr>
        <w:pStyle w:val="0"/>
        <w:spacing w:before="240" w:line-rule="auto"/>
        <w:ind w:firstLine="540"/>
        <w:jc w:val="both"/>
      </w:pPr>
      <w:r>
        <w:rPr>
          <w:sz w:val="24"/>
        </w:rPr>
        <w:t xml:space="preserve">системой охраны;</w:t>
      </w:r>
    </w:p>
    <w:p>
      <w:pPr>
        <w:pStyle w:val="0"/>
        <w:spacing w:before="240" w:line-rule="auto"/>
        <w:ind w:firstLine="540"/>
        <w:jc w:val="both"/>
      </w:pPr>
      <w:r>
        <w:rPr>
          <w:sz w:val="24"/>
        </w:rPr>
        <w:t xml:space="preserve">6) места ожидания в очереди на предоставление или получение документов оборудованы скамьями. Количество мест ожидания определяется исходя из фактической нагрузки и возможностей для их размещения в здании, но не может составлять менее 3 мест;</w:t>
      </w:r>
    </w:p>
    <w:p>
      <w:pPr>
        <w:pStyle w:val="0"/>
        <w:spacing w:before="240" w:line-rule="auto"/>
        <w:ind w:firstLine="540"/>
        <w:jc w:val="both"/>
      </w:pPr>
      <w:r>
        <w:rPr>
          <w:sz w:val="24"/>
        </w:rPr>
        <w:t xml:space="preserve">7) прием заявителей осуществляется в специально оборудованных помещениях (кабинетах), где располагается специалист, ответственный за предоставление государственной услуги;</w:t>
      </w:r>
    </w:p>
    <w:p>
      <w:pPr>
        <w:pStyle w:val="0"/>
        <w:spacing w:before="240" w:line-rule="auto"/>
        <w:ind w:firstLine="540"/>
        <w:jc w:val="both"/>
      </w:pPr>
      <w:r>
        <w:rPr>
          <w:sz w:val="24"/>
        </w:rPr>
        <w:t xml:space="preserve">8) места для заполнения документов оборудованы стульями, столами и обеспечиваются образцами заполнения документов и канцелярскими принадлежностями;</w:t>
      </w:r>
    </w:p>
    <w:p>
      <w:pPr>
        <w:pStyle w:val="0"/>
        <w:spacing w:before="240" w:line-rule="auto"/>
        <w:ind w:firstLine="540"/>
        <w:jc w:val="both"/>
      </w:pPr>
      <w:r>
        <w:rPr>
          <w:sz w:val="24"/>
        </w:rPr>
        <w:t xml:space="preserve">9) места информирования, предназначенные для ознакомления заявителей с информационными материалами, оборудованы информационными стендами;</w:t>
      </w:r>
    </w:p>
    <w:p>
      <w:pPr>
        <w:pStyle w:val="0"/>
        <w:spacing w:before="240" w:line-rule="auto"/>
        <w:ind w:firstLine="540"/>
        <w:jc w:val="both"/>
      </w:pPr>
      <w:r>
        <w:rPr>
          <w:sz w:val="24"/>
        </w:rPr>
        <w:t xml:space="preserve">10) на информационных стендах в Департаменте размещается текст Регламента с приложениями;</w:t>
      </w:r>
    </w:p>
    <w:p>
      <w:pPr>
        <w:pStyle w:val="0"/>
        <w:spacing w:before="240" w:line-rule="auto"/>
        <w:ind w:firstLine="540"/>
        <w:jc w:val="both"/>
      </w:pPr>
      <w:r>
        <w:rPr>
          <w:sz w:val="24"/>
        </w:rPr>
        <w:t xml:space="preserve">11) обеспечение возможности беспрепятственного доступа инвалидов осуществляется в соответствии с требованиями </w:t>
      </w:r>
      <w:r>
        <w:rPr>
          <w:sz w:val="24"/>
        </w:rPr>
        <w:t xml:space="preserve">статьи 15</w:t>
      </w:r>
      <w:r>
        <w:rPr>
          <w:sz w:val="24"/>
        </w:rPr>
        <w:t xml:space="preserve"> Федерального закона от 24 ноября 1995 года N 181-ФЗ "О социальной защите инвалидов в Российской Федерации".</w:t>
      </w:r>
    </w:p>
    <w:p>
      <w:pPr>
        <w:pStyle w:val="0"/>
        <w:spacing w:before="240" w:line-rule="auto"/>
        <w:ind w:firstLine="540"/>
        <w:jc w:val="both"/>
      </w:pPr>
      <w:r>
        <w:rPr>
          <w:sz w:val="24"/>
        </w:rPr>
        <w:t xml:space="preserve">20. Показатели доступности и качества государственной услуги:</w:t>
      </w:r>
    </w:p>
    <w:p>
      <w:pPr>
        <w:pStyle w:val="0"/>
        <w:spacing w:before="240" w:line-rule="auto"/>
        <w:ind w:firstLine="540"/>
        <w:jc w:val="both"/>
      </w:pPr>
      <w:r>
        <w:rPr>
          <w:sz w:val="24"/>
        </w:rPr>
        <w:t xml:space="preserve">Получение государственной услуги возможно в следующих формах:</w:t>
      </w:r>
    </w:p>
    <w:p>
      <w:pPr>
        <w:pStyle w:val="0"/>
        <w:spacing w:before="240" w:line-rule="auto"/>
        <w:ind w:firstLine="540"/>
        <w:jc w:val="both"/>
      </w:pPr>
      <w:r>
        <w:rPr>
          <w:sz w:val="24"/>
        </w:rPr>
        <w:t xml:space="preserve">1) при личном обращении в Департамент к специалисту, ответственному за предоставление государственной услуги, с представлением и документами, предусмотренными </w:t>
      </w:r>
      <w:hyperlink w:history="0" w:anchor="P85"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писок спортивной сборной команды Томской области по виду спорта (далее - Спи...">
        <w:r>
          <w:rPr>
            <w:sz w:val="24"/>
            <w:color w:val="0000ff"/>
          </w:rPr>
          <w:t xml:space="preserve">пунктом 12</w:t>
        </w:r>
      </w:hyperlink>
      <w:r>
        <w:rPr>
          <w:sz w:val="24"/>
        </w:rPr>
        <w:t xml:space="preserve"> настоящего Регламента;</w:t>
      </w:r>
    </w:p>
    <w:p>
      <w:pPr>
        <w:pStyle w:val="0"/>
        <w:spacing w:before="240" w:line-rule="auto"/>
        <w:ind w:firstLine="540"/>
        <w:jc w:val="both"/>
      </w:pPr>
      <w:r>
        <w:rPr>
          <w:sz w:val="24"/>
        </w:rPr>
        <w:t xml:space="preserve">2) при подаче заявления о предоставлении государственной услуги в многофункциональные центры (далее - МФЦ) (только после заключения соглашения о взаимодействии между Департаментом и МФЦ);</w:t>
      </w:r>
    </w:p>
    <w:p>
      <w:pPr>
        <w:pStyle w:val="0"/>
        <w:spacing w:before="240" w:line-rule="auto"/>
        <w:ind w:firstLine="540"/>
        <w:jc w:val="both"/>
      </w:pPr>
      <w:r>
        <w:rPr>
          <w:sz w:val="24"/>
        </w:rPr>
        <w:t xml:space="preserve">3) государственная услуги в электронной форме не оказывается, однако, заявитель с помощью Портала имеет возможность:</w:t>
      </w:r>
    </w:p>
    <w:p>
      <w:pPr>
        <w:pStyle w:val="0"/>
        <w:spacing w:before="240" w:line-rule="auto"/>
        <w:ind w:firstLine="540"/>
        <w:jc w:val="both"/>
      </w:pPr>
      <w:r>
        <w:rPr>
          <w:sz w:val="24"/>
        </w:rPr>
        <w:t xml:space="preserve">а) получить информацию о порядке предоставления государственной услуги;</w:t>
      </w:r>
    </w:p>
    <w:p>
      <w:pPr>
        <w:pStyle w:val="0"/>
        <w:spacing w:before="240" w:line-rule="auto"/>
        <w:ind w:firstLine="540"/>
        <w:jc w:val="both"/>
      </w:pPr>
      <w:r>
        <w:rPr>
          <w:sz w:val="24"/>
        </w:rPr>
        <w:t xml:space="preserve">б) ознакомиться с формой документов, необходимых для получения государственной услуги, получить доступ к ним для копирования и заполнения в электронном виде.</w:t>
      </w:r>
    </w:p>
    <w:p>
      <w:pPr>
        <w:pStyle w:val="0"/>
        <w:spacing w:before="240" w:line-rule="auto"/>
        <w:ind w:firstLine="540"/>
        <w:jc w:val="both"/>
      </w:pPr>
      <w:r>
        <w:rPr>
          <w:sz w:val="24"/>
        </w:rPr>
        <w:t xml:space="preserve">Ежедневно со дня регистрации документов заявитель получает сведения о ходе предоставления государственной услуги при помощи телефона, электронной почты или посредством личного посещения Департамента.</w:t>
      </w:r>
    </w:p>
    <w:p>
      <w:pPr>
        <w:pStyle w:val="0"/>
        <w:spacing w:before="240" w:line-rule="auto"/>
        <w:ind w:firstLine="540"/>
        <w:jc w:val="both"/>
      </w:pPr>
      <w:r>
        <w:rPr>
          <w:sz w:val="24"/>
        </w:rPr>
        <w:t xml:space="preserve">21. Иные требования,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w:t>
      </w:r>
    </w:p>
    <w:p>
      <w:pPr>
        <w:pStyle w:val="0"/>
        <w:spacing w:before="240" w:line-rule="auto"/>
        <w:ind w:firstLine="540"/>
        <w:jc w:val="both"/>
      </w:pPr>
      <w:r>
        <w:rPr>
          <w:sz w:val="24"/>
        </w:rPr>
        <w:t xml:space="preserve">Государственная услуга в электронной форме не оказывается. Государственная услуга в МФЦ не предоставляется.</w:t>
      </w:r>
    </w:p>
    <w:p>
      <w:pPr>
        <w:pStyle w:val="0"/>
        <w:jc w:val="both"/>
      </w:pPr>
      <w:r>
        <w:rPr>
          <w:sz w:val="24"/>
        </w:rPr>
      </w:r>
    </w:p>
    <w:p>
      <w:pPr>
        <w:pStyle w:val="2"/>
        <w:outlineLvl w:val="1"/>
        <w:jc w:val="center"/>
      </w:pPr>
      <w:r>
        <w:rPr>
          <w:sz w:val="24"/>
        </w:rPr>
        <w:t xml:space="preserve">3. Состав, последовательность и сроки выполнения</w:t>
      </w:r>
    </w:p>
    <w:p>
      <w:pPr>
        <w:pStyle w:val="2"/>
        <w:jc w:val="center"/>
      </w:pPr>
      <w:r>
        <w:rPr>
          <w:sz w:val="24"/>
        </w:rPr>
        <w:t xml:space="preserve">административных процедур, требования к порядку их</w:t>
      </w:r>
    </w:p>
    <w:p>
      <w:pPr>
        <w:pStyle w:val="2"/>
        <w:jc w:val="center"/>
      </w:pPr>
      <w:r>
        <w:rPr>
          <w:sz w:val="24"/>
        </w:rPr>
        <w:t xml:space="preserve">выполнения, в том числе особенности выполнения</w:t>
      </w:r>
    </w:p>
    <w:p>
      <w:pPr>
        <w:pStyle w:val="2"/>
        <w:jc w:val="center"/>
      </w:pPr>
      <w:r>
        <w:rPr>
          <w:sz w:val="24"/>
        </w:rPr>
        <w:t xml:space="preserve">административных процедур в электронной форме, а также</w:t>
      </w:r>
    </w:p>
    <w:p>
      <w:pPr>
        <w:pStyle w:val="2"/>
        <w:jc w:val="center"/>
      </w:pPr>
      <w:r>
        <w:rPr>
          <w:sz w:val="24"/>
        </w:rPr>
        <w:t xml:space="preserve">особенности выполнения административных процедур</w:t>
      </w:r>
    </w:p>
    <w:p>
      <w:pPr>
        <w:pStyle w:val="2"/>
        <w:jc w:val="center"/>
      </w:pPr>
      <w:r>
        <w:rPr>
          <w:sz w:val="24"/>
        </w:rPr>
        <w:t xml:space="preserve">в многофункциональных центрах</w:t>
      </w:r>
    </w:p>
    <w:p>
      <w:pPr>
        <w:pStyle w:val="0"/>
        <w:jc w:val="both"/>
      </w:pPr>
      <w:r>
        <w:rPr>
          <w:sz w:val="24"/>
        </w:rPr>
      </w:r>
    </w:p>
    <w:p>
      <w:pPr>
        <w:pStyle w:val="0"/>
        <w:ind w:firstLine="540"/>
        <w:jc w:val="both"/>
      </w:pPr>
      <w:r>
        <w:rPr>
          <w:sz w:val="24"/>
        </w:rPr>
        <w:t xml:space="preserve">22. Предоставление государственной услуги "Наделение статусом "Спортивная сборная команда Томской области" включает в себя несколько административных процедур:</w:t>
      </w:r>
    </w:p>
    <w:p>
      <w:pPr>
        <w:pStyle w:val="0"/>
        <w:spacing w:before="240" w:line-rule="auto"/>
        <w:ind w:firstLine="540"/>
        <w:jc w:val="both"/>
      </w:pPr>
      <w:r>
        <w:rPr>
          <w:sz w:val="24"/>
        </w:rPr>
        <w:t xml:space="preserve">1) прием и проверка документов, предусмотренных </w:t>
      </w:r>
      <w:hyperlink w:history="0" w:anchor="P85"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писок спортивной сборной команды Томской области по виду спорта (далее - Спи...">
        <w:r>
          <w:rPr>
            <w:sz w:val="24"/>
            <w:color w:val="0000ff"/>
          </w:rPr>
          <w:t xml:space="preserve">пунктом 12</w:t>
        </w:r>
      </w:hyperlink>
      <w:r>
        <w:rPr>
          <w:sz w:val="24"/>
        </w:rPr>
        <w:t xml:space="preserve"> настоящего Регламента;</w:t>
      </w:r>
    </w:p>
    <w:p>
      <w:pPr>
        <w:pStyle w:val="0"/>
        <w:spacing w:before="240" w:line-rule="auto"/>
        <w:ind w:firstLine="540"/>
        <w:jc w:val="both"/>
      </w:pPr>
      <w:r>
        <w:rPr>
          <w:sz w:val="24"/>
        </w:rPr>
        <w:t xml:space="preserve">2) принятие решения о наделении статусом "Спортивная сборная команда Томской области" либо об отказе в наделении статусом "Спортивная сборная команда Томской области";</w:t>
      </w:r>
    </w:p>
    <w:p>
      <w:pPr>
        <w:pStyle w:val="0"/>
        <w:spacing w:before="240" w:line-rule="auto"/>
        <w:ind w:firstLine="540"/>
        <w:jc w:val="both"/>
      </w:pPr>
      <w:r>
        <w:rPr>
          <w:sz w:val="24"/>
        </w:rPr>
        <w:t xml:space="preserve">3) уведомление заявителя.</w:t>
      </w:r>
    </w:p>
    <w:p>
      <w:pPr>
        <w:pStyle w:val="0"/>
        <w:spacing w:before="240" w:line-rule="auto"/>
        <w:ind w:firstLine="540"/>
        <w:jc w:val="both"/>
      </w:pPr>
      <w:r>
        <w:rPr>
          <w:sz w:val="24"/>
        </w:rPr>
        <w:t xml:space="preserve">23. Описание последовательности действий при предоставлении государственной услуги </w:t>
      </w:r>
      <w:hyperlink w:history="0" w:anchor="P267" w:tooltip="БЛОК-СХЕМА">
        <w:r>
          <w:rPr>
            <w:sz w:val="24"/>
            <w:color w:val="0000ff"/>
          </w:rPr>
          <w:t xml:space="preserve">(блок-схема)</w:t>
        </w:r>
      </w:hyperlink>
      <w:r>
        <w:rPr>
          <w:sz w:val="24"/>
        </w:rPr>
        <w:t xml:space="preserve"> приведено в Приложении N 2 к настоящему Регламенту.</w:t>
      </w:r>
    </w:p>
    <w:p>
      <w:pPr>
        <w:pStyle w:val="0"/>
        <w:spacing w:before="240" w:line-rule="auto"/>
        <w:ind w:firstLine="540"/>
        <w:jc w:val="both"/>
      </w:pPr>
      <w:r>
        <w:rPr>
          <w:sz w:val="24"/>
        </w:rPr>
        <w:t xml:space="preserve">24. Прием и проверка документов, предусмотренных </w:t>
      </w:r>
      <w:hyperlink w:history="0" w:anchor="P85"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писок спортивной сборной команды Томской области по виду спорта (далее - Спи...">
        <w:r>
          <w:rPr>
            <w:sz w:val="24"/>
            <w:color w:val="0000ff"/>
          </w:rPr>
          <w:t xml:space="preserve">пунктом 12</w:t>
        </w:r>
      </w:hyperlink>
      <w:r>
        <w:rPr>
          <w:sz w:val="24"/>
        </w:rPr>
        <w:t xml:space="preserve"> настоящего Регламента:</w:t>
      </w:r>
    </w:p>
    <w:p>
      <w:pPr>
        <w:pStyle w:val="0"/>
        <w:spacing w:before="240" w:line-rule="auto"/>
        <w:ind w:firstLine="540"/>
        <w:jc w:val="both"/>
      </w:pPr>
      <w:r>
        <w:rPr>
          <w:sz w:val="24"/>
        </w:rPr>
        <w:t xml:space="preserve">1) запись на прием в Департамент для подачи запроса с использованием Портала, сайта Департамента не осуществляется;</w:t>
      </w:r>
    </w:p>
    <w:p>
      <w:pPr>
        <w:pStyle w:val="0"/>
        <w:spacing w:before="240" w:line-rule="auto"/>
        <w:ind w:firstLine="540"/>
        <w:jc w:val="both"/>
      </w:pPr>
      <w:r>
        <w:rPr>
          <w:sz w:val="24"/>
        </w:rPr>
        <w:t xml:space="preserve">2) основанием для начала процедуры является обращение заявителя в Департамент по адресу: 634029. г. Томск, ул. Герцена, д. 8 с документами, предусмотренными </w:t>
      </w:r>
      <w:hyperlink w:history="0" w:anchor="P85"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писок спортивной сборной команды Томской области по виду спорта (далее - Спи...">
        <w:r>
          <w:rPr>
            <w:sz w:val="24"/>
            <w:color w:val="0000ff"/>
          </w:rPr>
          <w:t xml:space="preserve">пунктом 12</w:t>
        </w:r>
      </w:hyperlink>
      <w:r>
        <w:rPr>
          <w:sz w:val="24"/>
        </w:rPr>
        <w:t xml:space="preserve"> настоящего Регламента;</w:t>
      </w:r>
    </w:p>
    <w:bookmarkStart w:id="143" w:name="P143"/>
    <w:bookmarkEnd w:id="143"/>
    <w:p>
      <w:pPr>
        <w:pStyle w:val="0"/>
        <w:spacing w:before="240" w:line-rule="auto"/>
        <w:ind w:firstLine="540"/>
        <w:jc w:val="both"/>
      </w:pPr>
      <w:r>
        <w:rPr>
          <w:sz w:val="24"/>
        </w:rPr>
        <w:t xml:space="preserve">3) специалист, ответственный за предоставление государственной услуги, принимает на рассмотрение документы, предусмотренные </w:t>
      </w:r>
      <w:hyperlink w:history="0" w:anchor="P85"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писок спортивной сборной команды Томской области по виду спорта (далее - Спи...">
        <w:r>
          <w:rPr>
            <w:sz w:val="24"/>
            <w:color w:val="0000ff"/>
          </w:rPr>
          <w:t xml:space="preserve">пунктом 12</w:t>
        </w:r>
      </w:hyperlink>
      <w:r>
        <w:rPr>
          <w:sz w:val="24"/>
        </w:rPr>
        <w:t xml:space="preserve"> настоящего Регламента, не позднее 10 рабочих дней до начала официального межрегионального, всероссийского спортивного соревнования (включая дни приезда). Специалист, ответственный за предоставление государственной услуги, отказывает в приеме документов в случаях предусмотренных </w:t>
      </w:r>
      <w:hyperlink w:history="0" w:anchor="P92" w:tooltip="13. Исчерпывающий перечень оснований для отказа в приеме документов, необходимых для предоставления государственной услуги:">
        <w:r>
          <w:rPr>
            <w:sz w:val="24"/>
            <w:color w:val="0000ff"/>
          </w:rPr>
          <w:t xml:space="preserve">пунктом 13</w:t>
        </w:r>
      </w:hyperlink>
      <w:r>
        <w:rPr>
          <w:sz w:val="24"/>
        </w:rPr>
        <w:t xml:space="preserve"> настоящего Регламента.</w:t>
      </w:r>
    </w:p>
    <w:p>
      <w:pPr>
        <w:pStyle w:val="0"/>
        <w:spacing w:before="240" w:line-rule="auto"/>
        <w:ind w:firstLine="540"/>
        <w:jc w:val="both"/>
      </w:pPr>
      <w:r>
        <w:rPr>
          <w:sz w:val="24"/>
        </w:rPr>
        <w:t xml:space="preserve">Максимальный срок выполнения действия - 15 минут.</w:t>
      </w:r>
    </w:p>
    <w:p>
      <w:pPr>
        <w:pStyle w:val="0"/>
        <w:spacing w:before="240" w:line-rule="auto"/>
        <w:ind w:firstLine="540"/>
        <w:jc w:val="both"/>
      </w:pPr>
      <w:r>
        <w:rPr>
          <w:sz w:val="24"/>
        </w:rPr>
        <w:t xml:space="preserve">Формирование запроса о предоставлении государственной услуги, прием и регистрация запроса и документов, необходимых для предоставления государственной услуги, на Портале, сайте Департамента не осуществляется;</w:t>
      </w:r>
    </w:p>
    <w:p>
      <w:pPr>
        <w:pStyle w:val="0"/>
        <w:spacing w:before="240" w:line-rule="auto"/>
        <w:ind w:firstLine="540"/>
        <w:jc w:val="both"/>
      </w:pPr>
      <w:r>
        <w:rPr>
          <w:sz w:val="24"/>
        </w:rPr>
        <w:t xml:space="preserve">4) статусом "Спортивная сборная команда Томской области" наделяются составы спортивных сборных команд по видам спорта (спортивным дисциплинам), включенным во Всероссийский реестр видов спорта, для участия в межрегиональных, всероссийских спортивных соревнованиях из числа лиц, включенных в списки кандидатов в спортивные сборные команды Томской области, утвержденные распоряжением Департамента, в соответствии с </w:t>
      </w:r>
      <w:r>
        <w:rPr>
          <w:sz w:val="24"/>
        </w:rPr>
        <w:t xml:space="preserve">приказом</w:t>
      </w:r>
      <w:r>
        <w:rPr>
          <w:sz w:val="24"/>
        </w:rPr>
        <w:t xml:space="preserve"> Департамента от 25.04.2024 N 21 "О Порядке формирования спортивных сборных команд Томской области";</w:t>
      </w:r>
    </w:p>
    <w:p>
      <w:pPr>
        <w:pStyle w:val="0"/>
        <w:spacing w:before="240" w:line-rule="auto"/>
        <w:ind w:firstLine="540"/>
        <w:jc w:val="both"/>
      </w:pPr>
      <w:r>
        <w:rPr>
          <w:sz w:val="24"/>
        </w:rPr>
        <w:t xml:space="preserve">5) специалист, ответственный за предоставление государственной услуги, осуществляет проверку документов, предусмотренных </w:t>
      </w:r>
      <w:hyperlink w:history="0" w:anchor="P85"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писок спортивной сборной команды Томской области по виду спорта (далее - Спи...">
        <w:r>
          <w:rPr>
            <w:sz w:val="24"/>
            <w:color w:val="0000ff"/>
          </w:rPr>
          <w:t xml:space="preserve">пунктом 12</w:t>
        </w:r>
      </w:hyperlink>
      <w:r>
        <w:rPr>
          <w:sz w:val="24"/>
        </w:rPr>
        <w:t xml:space="preserve"> настоящего Регламента и устанавливает соответствие их формы и содержания требованиям настоящего Регламента.</w:t>
      </w:r>
    </w:p>
    <w:p>
      <w:pPr>
        <w:pStyle w:val="0"/>
        <w:spacing w:before="240" w:line-rule="auto"/>
        <w:ind w:firstLine="540"/>
        <w:jc w:val="both"/>
      </w:pPr>
      <w:r>
        <w:rPr>
          <w:sz w:val="24"/>
        </w:rPr>
        <w:t xml:space="preserve">Максимальный срок выполнения действия - 3 рабочих дня;</w:t>
      </w:r>
    </w:p>
    <w:p>
      <w:pPr>
        <w:pStyle w:val="0"/>
        <w:spacing w:before="240" w:line-rule="auto"/>
        <w:ind w:firstLine="540"/>
        <w:jc w:val="both"/>
      </w:pPr>
      <w:r>
        <w:rPr>
          <w:sz w:val="24"/>
        </w:rPr>
        <w:t xml:space="preserve">6) максимальный срок выполнения процедуры - 3 рабочих дня.</w:t>
      </w:r>
    </w:p>
    <w:p>
      <w:pPr>
        <w:pStyle w:val="0"/>
        <w:spacing w:before="240" w:line-rule="auto"/>
        <w:ind w:firstLine="540"/>
        <w:jc w:val="both"/>
      </w:pPr>
      <w:r>
        <w:rPr>
          <w:sz w:val="24"/>
        </w:rPr>
        <w:t xml:space="preserve">25. Принятие решения о наделении статусом "Спортивная сборная команда Томской области" либо об отказе в наделении статусом "Спортивная сборная команда Томской области":</w:t>
      </w:r>
    </w:p>
    <w:p>
      <w:pPr>
        <w:pStyle w:val="0"/>
        <w:spacing w:before="240" w:line-rule="auto"/>
        <w:ind w:firstLine="540"/>
        <w:jc w:val="both"/>
      </w:pPr>
      <w:r>
        <w:rPr>
          <w:sz w:val="24"/>
        </w:rPr>
        <w:t xml:space="preserve">1) основанием для начала процедуры является соответствие документов, предусмотренных </w:t>
      </w:r>
      <w:hyperlink w:history="0" w:anchor="P85"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писок спортивной сборной команды Томской области по виду спорта (далее - Спи...">
        <w:r>
          <w:rPr>
            <w:sz w:val="24"/>
            <w:color w:val="0000ff"/>
          </w:rPr>
          <w:t xml:space="preserve">пунктом 12</w:t>
        </w:r>
      </w:hyperlink>
      <w:r>
        <w:rPr>
          <w:sz w:val="24"/>
        </w:rPr>
        <w:t xml:space="preserve"> настоящего Регламента, требованиям настоящего Регламента;</w:t>
      </w:r>
    </w:p>
    <w:p>
      <w:pPr>
        <w:pStyle w:val="0"/>
        <w:spacing w:before="240" w:line-rule="auto"/>
        <w:ind w:firstLine="540"/>
        <w:jc w:val="both"/>
      </w:pPr>
      <w:r>
        <w:rPr>
          <w:sz w:val="24"/>
        </w:rPr>
        <w:t xml:space="preserve">2) специалист, ответственный за предоставление государственной услуги, готовит проект распоряжения Департамента об утверждении состава спортивной сборной команды Томской области по виду спорта для участия в межрегиональных, всероссийских спортивных соревнованиях (далее - проект распоряжения Департамента).</w:t>
      </w:r>
    </w:p>
    <w:p>
      <w:pPr>
        <w:pStyle w:val="0"/>
        <w:spacing w:before="240" w:line-rule="auto"/>
        <w:ind w:firstLine="540"/>
        <w:jc w:val="both"/>
      </w:pPr>
      <w:r>
        <w:rPr>
          <w:sz w:val="24"/>
        </w:rPr>
        <w:t xml:space="preserve">Максимальный срок выполнения действия - 1 рабочий день;</w:t>
      </w:r>
    </w:p>
    <w:p>
      <w:pPr>
        <w:pStyle w:val="0"/>
        <w:spacing w:before="240" w:line-rule="auto"/>
        <w:ind w:firstLine="540"/>
        <w:jc w:val="both"/>
      </w:pPr>
      <w:r>
        <w:rPr>
          <w:sz w:val="24"/>
        </w:rPr>
        <w:t xml:space="preserve">3) начальник Департамента подписывает проект распоряжения Департамента.</w:t>
      </w:r>
    </w:p>
    <w:p>
      <w:pPr>
        <w:pStyle w:val="0"/>
        <w:spacing w:before="240" w:line-rule="auto"/>
        <w:ind w:firstLine="540"/>
        <w:jc w:val="both"/>
      </w:pPr>
      <w:r>
        <w:rPr>
          <w:sz w:val="24"/>
        </w:rPr>
        <w:t xml:space="preserve">Максимальный срок выполнения действия - 1 рабочий день;</w:t>
      </w:r>
    </w:p>
    <w:p>
      <w:pPr>
        <w:pStyle w:val="0"/>
        <w:spacing w:before="240" w:line-rule="auto"/>
        <w:ind w:firstLine="540"/>
        <w:jc w:val="both"/>
      </w:pPr>
      <w:r>
        <w:rPr>
          <w:sz w:val="24"/>
        </w:rPr>
        <w:t xml:space="preserve">4) Заявителю отказывается в предоставлении государственной услуги "Наделение статусом "Спортивная сборная команда Томской области" в случаях предусмотренных </w:t>
      </w:r>
      <w:hyperlink w:history="0" w:anchor="P95" w:tooltip="14. Исчерпывающий перечень оснований для отказа в предоставлении государственной услуги:">
        <w:r>
          <w:rPr>
            <w:sz w:val="24"/>
            <w:color w:val="0000ff"/>
          </w:rPr>
          <w:t xml:space="preserve">пунктом 14</w:t>
        </w:r>
      </w:hyperlink>
      <w:r>
        <w:rPr>
          <w:sz w:val="24"/>
        </w:rPr>
        <w:t xml:space="preserve"> настоящего Регламента;</w:t>
      </w:r>
    </w:p>
    <w:p>
      <w:pPr>
        <w:pStyle w:val="0"/>
        <w:spacing w:before="240" w:line-rule="auto"/>
        <w:ind w:firstLine="540"/>
        <w:jc w:val="both"/>
      </w:pPr>
      <w:r>
        <w:rPr>
          <w:sz w:val="24"/>
        </w:rPr>
        <w:t xml:space="preserve">5) максимальный срок выполнения процедуры - 2 рабочих дня.</w:t>
      </w:r>
    </w:p>
    <w:p>
      <w:pPr>
        <w:pStyle w:val="0"/>
        <w:spacing w:before="240" w:line-rule="auto"/>
        <w:ind w:firstLine="540"/>
        <w:jc w:val="both"/>
      </w:pPr>
      <w:r>
        <w:rPr>
          <w:sz w:val="24"/>
        </w:rPr>
        <w:t xml:space="preserve">26. Уведомление заявителя:</w:t>
      </w:r>
    </w:p>
    <w:p>
      <w:pPr>
        <w:pStyle w:val="0"/>
        <w:spacing w:before="240" w:line-rule="auto"/>
        <w:ind w:firstLine="540"/>
        <w:jc w:val="both"/>
      </w:pPr>
      <w:r>
        <w:rPr>
          <w:sz w:val="24"/>
        </w:rPr>
        <w:t xml:space="preserve">1) основанием для начала процедуры уведомления заявителя является подписание проекта распоряжения Департамента начальником Департамента;</w:t>
      </w:r>
    </w:p>
    <w:p>
      <w:pPr>
        <w:pStyle w:val="0"/>
        <w:spacing w:before="240" w:line-rule="auto"/>
        <w:ind w:firstLine="540"/>
        <w:jc w:val="both"/>
      </w:pPr>
      <w:r>
        <w:rPr>
          <w:sz w:val="24"/>
        </w:rPr>
        <w:t xml:space="preserve">2) специалист, ответственный за предоставление государственной услуги, направляет копию распоряжения Департамента в областное государственное автономное учреждение "Центр спортивной подготовки сборных команд Томской области" для обеспечения участия спортивной сборной команды Томской области в межрегиональных, всероссийских спортивных соревнованиях в рамках выполнения государственного задания.</w:t>
      </w:r>
    </w:p>
    <w:p>
      <w:pPr>
        <w:pStyle w:val="0"/>
        <w:spacing w:before="240" w:line-rule="auto"/>
        <w:ind w:firstLine="540"/>
        <w:jc w:val="both"/>
      </w:pPr>
      <w:r>
        <w:rPr>
          <w:sz w:val="24"/>
        </w:rPr>
        <w:t xml:space="preserve">Результат предоставления государственной услуги с использованием Портала, сайта Департамента не предоставляется.</w:t>
      </w:r>
    </w:p>
    <w:p>
      <w:pPr>
        <w:pStyle w:val="0"/>
        <w:spacing w:before="240" w:line-rule="auto"/>
        <w:ind w:firstLine="540"/>
        <w:jc w:val="both"/>
      </w:pPr>
      <w:r>
        <w:rPr>
          <w:sz w:val="24"/>
        </w:rPr>
        <w:t xml:space="preserve">Максимальный срок выполнения действия - 3 рабочих дня;</w:t>
      </w:r>
    </w:p>
    <w:p>
      <w:pPr>
        <w:pStyle w:val="0"/>
        <w:spacing w:before="240" w:line-rule="auto"/>
        <w:ind w:firstLine="540"/>
        <w:jc w:val="both"/>
      </w:pPr>
      <w:r>
        <w:rPr>
          <w:sz w:val="24"/>
        </w:rPr>
        <w:t xml:space="preserve">3) при отказе в предоставлении государственной услуги специалист, ответственный за предоставление государственной услуги, направляет Заявителю письменный отказ.</w:t>
      </w:r>
    </w:p>
    <w:p>
      <w:pPr>
        <w:pStyle w:val="0"/>
        <w:spacing w:before="240" w:line-rule="auto"/>
        <w:ind w:firstLine="540"/>
        <w:jc w:val="both"/>
      </w:pPr>
      <w:r>
        <w:rPr>
          <w:sz w:val="24"/>
        </w:rPr>
        <w:t xml:space="preserve">Максимальный срок выполнения действия - 3 рабочих дня;</w:t>
      </w:r>
    </w:p>
    <w:p>
      <w:pPr>
        <w:pStyle w:val="0"/>
        <w:spacing w:before="240" w:line-rule="auto"/>
        <w:ind w:firstLine="540"/>
        <w:jc w:val="both"/>
      </w:pPr>
      <w:r>
        <w:rPr>
          <w:sz w:val="24"/>
        </w:rPr>
        <w:t xml:space="preserve">4) максимальный срок выполнения процедуры - 3 рабочих дня.</w:t>
      </w:r>
    </w:p>
    <w:p>
      <w:pPr>
        <w:pStyle w:val="0"/>
        <w:spacing w:before="240" w:line-rule="auto"/>
        <w:ind w:firstLine="540"/>
        <w:jc w:val="both"/>
      </w:pPr>
      <w:r>
        <w:rPr>
          <w:sz w:val="24"/>
        </w:rPr>
        <w:t xml:space="preserve">27. Получение сведений о ходе выполнения запроса с использованием Портала, сайта Департамента не осуществляется.</w:t>
      </w:r>
    </w:p>
    <w:p>
      <w:pPr>
        <w:pStyle w:val="0"/>
        <w:spacing w:before="240" w:line-rule="auto"/>
        <w:ind w:firstLine="540"/>
        <w:jc w:val="both"/>
      </w:pPr>
      <w:r>
        <w:rPr>
          <w:sz w:val="24"/>
        </w:rPr>
        <w:t xml:space="preserve">28. Возможность оценить доступность и качество государственной услуги на Портале отсутствует.</w:t>
      </w:r>
    </w:p>
    <w:p>
      <w:pPr>
        <w:pStyle w:val="0"/>
        <w:jc w:val="both"/>
      </w:pPr>
      <w:r>
        <w:rPr>
          <w:sz w:val="24"/>
        </w:rPr>
      </w:r>
    </w:p>
    <w:p>
      <w:pPr>
        <w:pStyle w:val="2"/>
        <w:outlineLvl w:val="1"/>
        <w:jc w:val="center"/>
      </w:pPr>
      <w:r>
        <w:rPr>
          <w:sz w:val="24"/>
        </w:rPr>
        <w:t xml:space="preserve">4. Формы контроля за исполнением</w:t>
      </w:r>
    </w:p>
    <w:p>
      <w:pPr>
        <w:pStyle w:val="2"/>
        <w:jc w:val="center"/>
      </w:pPr>
      <w:r>
        <w:rPr>
          <w:sz w:val="24"/>
        </w:rPr>
        <w:t xml:space="preserve">Административного регламента</w:t>
      </w:r>
    </w:p>
    <w:p>
      <w:pPr>
        <w:pStyle w:val="0"/>
        <w:jc w:val="both"/>
      </w:pPr>
      <w:r>
        <w:rPr>
          <w:sz w:val="24"/>
        </w:rPr>
      </w:r>
    </w:p>
    <w:p>
      <w:pPr>
        <w:pStyle w:val="0"/>
        <w:ind w:firstLine="540"/>
        <w:jc w:val="both"/>
      </w:pPr>
      <w:r>
        <w:rPr>
          <w:sz w:val="24"/>
        </w:rPr>
        <w:t xml:space="preserve">29. Текущий контроль за соблюдением и исполнением специалистом, ответственным за предоставление государственной услуги, положений Регламента и иных нормативных правовых актов Российской Федерации и Томской области, устанавливающих требования к предоставлению государственной услуги, осуществляется заместителем начальника Департамента - председателем комитета по физической культуре и спорту, а в случаях его временного отсутствия - начальником Департамента, постоянно:</w:t>
      </w:r>
    </w:p>
    <w:p>
      <w:pPr>
        <w:pStyle w:val="0"/>
        <w:spacing w:before="240" w:line-rule="auto"/>
        <w:ind w:firstLine="540"/>
        <w:jc w:val="both"/>
      </w:pPr>
      <w:r>
        <w:rPr>
          <w:sz w:val="24"/>
        </w:rPr>
        <w:t xml:space="preserve">1) в части осуществления специалистом, ответственным за предоставление государственной услуги, действий по рассмотрению запроса, получению документов путем межведомственного информационного взаимодействия, подготовке письменного мотивированного отказа в предоставлении государственной услуги либо подготовке проекта распоряжения;</w:t>
      </w:r>
    </w:p>
    <w:p>
      <w:pPr>
        <w:pStyle w:val="0"/>
        <w:spacing w:before="240" w:line-rule="auto"/>
        <w:ind w:firstLine="540"/>
        <w:jc w:val="both"/>
      </w:pPr>
      <w:r>
        <w:rPr>
          <w:sz w:val="24"/>
        </w:rPr>
        <w:t xml:space="preserve">2) в части регистрации запроса и направления заявителю результата предоставления государственной услуги.</w:t>
      </w:r>
    </w:p>
    <w:p>
      <w:pPr>
        <w:pStyle w:val="0"/>
        <w:spacing w:before="240" w:line-rule="auto"/>
        <w:ind w:firstLine="540"/>
        <w:jc w:val="both"/>
      </w:pPr>
      <w:r>
        <w:rPr>
          <w:sz w:val="24"/>
        </w:rPr>
        <w:t xml:space="preserve">30. Основания и порядок осуществления контроля со стороны граждан и других заявителей определяются в соответствии с законодательством Российской Федерации.</w:t>
      </w:r>
    </w:p>
    <w:p>
      <w:pPr>
        <w:pStyle w:val="0"/>
        <w:jc w:val="both"/>
      </w:pPr>
      <w:r>
        <w:rPr>
          <w:sz w:val="24"/>
        </w:rPr>
      </w:r>
    </w:p>
    <w:p>
      <w:pPr>
        <w:pStyle w:val="2"/>
        <w:outlineLvl w:val="1"/>
        <w:jc w:val="center"/>
      </w:pPr>
      <w:r>
        <w:rPr>
          <w:sz w:val="24"/>
        </w:rPr>
        <w:t xml:space="preserve">5. Досудебный (внесудебный) порядок обжалования решений</w:t>
      </w:r>
    </w:p>
    <w:p>
      <w:pPr>
        <w:pStyle w:val="2"/>
        <w:jc w:val="center"/>
      </w:pPr>
      <w:r>
        <w:rPr>
          <w:sz w:val="24"/>
        </w:rPr>
        <w:t xml:space="preserve">и действий (бездействия) органа, предоставляющего</w:t>
      </w:r>
    </w:p>
    <w:p>
      <w:pPr>
        <w:pStyle w:val="2"/>
        <w:jc w:val="center"/>
      </w:pPr>
      <w:r>
        <w:rPr>
          <w:sz w:val="24"/>
        </w:rPr>
        <w:t xml:space="preserve">государственную услугу, а также должностных лиц,</w:t>
      </w:r>
    </w:p>
    <w:p>
      <w:pPr>
        <w:pStyle w:val="2"/>
        <w:jc w:val="center"/>
      </w:pPr>
      <w:r>
        <w:rPr>
          <w:sz w:val="24"/>
        </w:rPr>
        <w:t xml:space="preserve">государственных служащих</w:t>
      </w:r>
    </w:p>
    <w:p>
      <w:pPr>
        <w:pStyle w:val="0"/>
        <w:jc w:val="both"/>
      </w:pPr>
      <w:r>
        <w:rPr>
          <w:sz w:val="24"/>
        </w:rPr>
      </w:r>
    </w:p>
    <w:p>
      <w:pPr>
        <w:pStyle w:val="0"/>
        <w:ind w:firstLine="540"/>
        <w:jc w:val="both"/>
      </w:pPr>
      <w:r>
        <w:rPr>
          <w:sz w:val="24"/>
        </w:rPr>
        <w:t xml:space="preserve">31. Обжалование решений и действий (бездействия) органа, предоставляющего государственную услугу, а также должностных лиц, государственных служащих осуществляется в соответствии с Федеральным </w:t>
      </w:r>
      <w:r>
        <w:rPr>
          <w:sz w:val="24"/>
        </w:rPr>
        <w:t xml:space="preserve">законом</w:t>
      </w:r>
      <w:r>
        <w:rPr>
          <w:sz w:val="24"/>
        </w:rPr>
        <w:t xml:space="preserve"> от 27 июля 2010 года N 210-ФЗ "Об организации предоставления государственных и муниципальных услуг".</w:t>
      </w:r>
    </w:p>
    <w:p>
      <w:pPr>
        <w:pStyle w:val="0"/>
        <w:spacing w:before="240" w:line-rule="auto"/>
        <w:ind w:firstLine="540"/>
        <w:jc w:val="both"/>
      </w:pPr>
      <w:r>
        <w:rPr>
          <w:sz w:val="24"/>
        </w:rPr>
        <w:t xml:space="preserve">32. Жалоба на решения и действия (бездействие) начальника Департамента подается на имя курирующего Департамент заместителя Губернатора Томской области.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w:t>
      </w:r>
    </w:p>
    <w:p>
      <w:pPr>
        <w:pStyle w:val="0"/>
        <w:jc w:val="right"/>
      </w:pPr>
      <w:r>
        <w:rPr>
          <w:sz w:val="24"/>
        </w:rPr>
        <w:t xml:space="preserve">к Административному регламенту</w:t>
      </w:r>
    </w:p>
    <w:p>
      <w:pPr>
        <w:pStyle w:val="0"/>
        <w:jc w:val="both"/>
      </w:pPr>
      <w:r>
        <w:rPr>
          <w:sz w:val="24"/>
        </w:rPr>
      </w:r>
    </w:p>
    <w:bookmarkStart w:id="192" w:name="P192"/>
    <w:bookmarkEnd w:id="192"/>
    <w:p>
      <w:pPr>
        <w:pStyle w:val="1"/>
        <w:jc w:val="both"/>
      </w:pPr>
      <w:r>
        <w:rPr>
          <w:sz w:val="20"/>
        </w:rPr>
        <w:t xml:space="preserve">                                  СПИСОК</w:t>
      </w:r>
    </w:p>
    <w:p>
      <w:pPr>
        <w:pStyle w:val="1"/>
        <w:jc w:val="both"/>
      </w:pPr>
      <w:r>
        <w:rPr>
          <w:sz w:val="20"/>
        </w:rPr>
        <w:t xml:space="preserve">                СПОРТИВНОЙ СБОРНОЙ КОМАНДЫ ТОМСКОЙ ОБЛАСТИ</w:t>
      </w:r>
    </w:p>
    <w:p>
      <w:pPr>
        <w:pStyle w:val="1"/>
        <w:jc w:val="both"/>
      </w:pPr>
      <w:r>
        <w:rPr>
          <w:sz w:val="20"/>
        </w:rPr>
        <w:t xml:space="preserve">                 ПО _____________________________________</w:t>
      </w:r>
    </w:p>
    <w:p>
      <w:pPr>
        <w:pStyle w:val="1"/>
        <w:jc w:val="both"/>
      </w:pPr>
      <w:r>
        <w:rPr>
          <w:sz w:val="20"/>
        </w:rPr>
        <w:t xml:space="preserve">                        (наименование вида спорта)</w:t>
      </w:r>
    </w:p>
    <w:p>
      <w:pPr>
        <w:pStyle w:val="1"/>
        <w:jc w:val="both"/>
      </w:pPr>
      <w:r>
        <w:rPr>
          <w:sz w:val="20"/>
        </w:rPr>
        <w:t xml:space="preserve">                               ДЛЯ УЧАСТИЯ В</w:t>
      </w:r>
    </w:p>
    <w:p>
      <w:pPr>
        <w:pStyle w:val="1"/>
        <w:jc w:val="both"/>
      </w:pPr>
      <w:r>
        <w:rPr>
          <w:sz w:val="20"/>
        </w:rPr>
        <w:t xml:space="preserve">    ___________________________________________________________________</w:t>
      </w:r>
    </w:p>
    <w:p>
      <w:pPr>
        <w:pStyle w:val="1"/>
        <w:jc w:val="both"/>
      </w:pPr>
      <w:r>
        <w:rPr>
          <w:sz w:val="20"/>
        </w:rPr>
        <w:t xml:space="preserve">              (название, сроки и место проведения спортивного</w:t>
      </w:r>
    </w:p>
    <w:p>
      <w:pPr>
        <w:pStyle w:val="1"/>
        <w:jc w:val="both"/>
      </w:pPr>
      <w:r>
        <w:rPr>
          <w:sz w:val="20"/>
        </w:rPr>
        <w:t xml:space="preserve">                               соревнования)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279"/>
        <w:gridCol w:w="1247"/>
        <w:gridCol w:w="1129"/>
        <w:gridCol w:w="1531"/>
        <w:gridCol w:w="1474"/>
        <w:gridCol w:w="844"/>
        <w:gridCol w:w="1084"/>
      </w:tblGrid>
      <w:tr>
        <w:tc>
          <w:tcPr>
            <w:tcW w:w="454" w:type="dxa"/>
          </w:tcPr>
          <w:p>
            <w:pPr>
              <w:pStyle w:val="0"/>
              <w:jc w:val="center"/>
            </w:pPr>
            <w:r>
              <w:rPr>
                <w:sz w:val="24"/>
              </w:rPr>
              <w:t xml:space="preserve">N п\п</w:t>
            </w:r>
          </w:p>
        </w:tc>
        <w:tc>
          <w:tcPr>
            <w:tcW w:w="1279" w:type="dxa"/>
          </w:tcPr>
          <w:p>
            <w:pPr>
              <w:pStyle w:val="0"/>
              <w:jc w:val="center"/>
            </w:pPr>
            <w:r>
              <w:rPr>
                <w:sz w:val="24"/>
              </w:rPr>
              <w:t xml:space="preserve">Вид программы</w:t>
            </w:r>
          </w:p>
        </w:tc>
        <w:tc>
          <w:tcPr>
            <w:tcW w:w="1247" w:type="dxa"/>
          </w:tcPr>
          <w:p>
            <w:pPr>
              <w:pStyle w:val="0"/>
              <w:jc w:val="center"/>
            </w:pPr>
            <w:r>
              <w:rPr>
                <w:sz w:val="24"/>
              </w:rPr>
              <w:t xml:space="preserve">Фамилия, имя и отчество (при наличии) спортсмена</w:t>
            </w:r>
          </w:p>
        </w:tc>
        <w:tc>
          <w:tcPr>
            <w:tcW w:w="1129" w:type="dxa"/>
          </w:tcPr>
          <w:p>
            <w:pPr>
              <w:pStyle w:val="0"/>
              <w:jc w:val="center"/>
            </w:pPr>
            <w:r>
              <w:rPr>
                <w:sz w:val="24"/>
              </w:rPr>
              <w:t xml:space="preserve">Дата рождения</w:t>
            </w:r>
          </w:p>
        </w:tc>
        <w:tc>
          <w:tcPr>
            <w:tcW w:w="1531" w:type="dxa"/>
          </w:tcPr>
          <w:p>
            <w:pPr>
              <w:pStyle w:val="0"/>
              <w:jc w:val="center"/>
            </w:pPr>
            <w:r>
              <w:rPr>
                <w:sz w:val="24"/>
              </w:rPr>
              <w:t xml:space="preserve">Спортивная квалификация, N, дата приказа</w:t>
            </w:r>
          </w:p>
        </w:tc>
        <w:tc>
          <w:tcPr>
            <w:tcW w:w="1474" w:type="dxa"/>
          </w:tcPr>
          <w:p>
            <w:pPr>
              <w:pStyle w:val="0"/>
              <w:jc w:val="center"/>
            </w:pPr>
            <w:r>
              <w:rPr>
                <w:sz w:val="24"/>
              </w:rPr>
              <w:t xml:space="preserve">Принадлежность к спортивной организации</w:t>
            </w:r>
          </w:p>
        </w:tc>
        <w:tc>
          <w:tcPr>
            <w:tcW w:w="844" w:type="dxa"/>
          </w:tcPr>
          <w:p>
            <w:pPr>
              <w:pStyle w:val="0"/>
              <w:jc w:val="center"/>
            </w:pPr>
            <w:r>
              <w:rPr>
                <w:sz w:val="24"/>
              </w:rPr>
              <w:t xml:space="preserve">Тренер</w:t>
            </w:r>
          </w:p>
        </w:tc>
        <w:tc>
          <w:tcPr>
            <w:tcW w:w="1084" w:type="dxa"/>
          </w:tcPr>
          <w:p>
            <w:pPr>
              <w:pStyle w:val="0"/>
              <w:jc w:val="center"/>
            </w:pPr>
            <w:r>
              <w:rPr>
                <w:sz w:val="24"/>
              </w:rPr>
              <w:t xml:space="preserve">Высший результат сезона</w:t>
            </w:r>
          </w:p>
        </w:tc>
      </w:tr>
      <w:tr>
        <w:tc>
          <w:tcPr>
            <w:tcW w:w="454" w:type="dxa"/>
          </w:tcPr>
          <w:p>
            <w:pPr>
              <w:pStyle w:val="0"/>
              <w:jc w:val="center"/>
            </w:pPr>
            <w:r>
              <w:rPr>
                <w:sz w:val="24"/>
              </w:rPr>
              <w:t xml:space="preserve">1</w:t>
            </w:r>
          </w:p>
        </w:tc>
        <w:tc>
          <w:tcPr>
            <w:tcW w:w="1279" w:type="dxa"/>
          </w:tcPr>
          <w:p>
            <w:pPr>
              <w:pStyle w:val="0"/>
              <w:jc w:val="center"/>
            </w:pPr>
            <w:r>
              <w:rPr>
                <w:sz w:val="24"/>
              </w:rPr>
              <w:t xml:space="preserve">2</w:t>
            </w:r>
          </w:p>
        </w:tc>
        <w:tc>
          <w:tcPr>
            <w:tcW w:w="1247" w:type="dxa"/>
          </w:tcPr>
          <w:p>
            <w:pPr>
              <w:pStyle w:val="0"/>
              <w:jc w:val="center"/>
            </w:pPr>
            <w:r>
              <w:rPr>
                <w:sz w:val="24"/>
              </w:rPr>
              <w:t xml:space="preserve">3</w:t>
            </w:r>
          </w:p>
        </w:tc>
        <w:tc>
          <w:tcPr>
            <w:tcW w:w="1129" w:type="dxa"/>
          </w:tcPr>
          <w:p>
            <w:pPr>
              <w:pStyle w:val="0"/>
              <w:jc w:val="center"/>
            </w:pPr>
            <w:r>
              <w:rPr>
                <w:sz w:val="24"/>
              </w:rPr>
              <w:t xml:space="preserve">4</w:t>
            </w:r>
          </w:p>
        </w:tc>
        <w:tc>
          <w:tcPr>
            <w:tcW w:w="1531" w:type="dxa"/>
          </w:tcPr>
          <w:p>
            <w:pPr>
              <w:pStyle w:val="0"/>
              <w:jc w:val="center"/>
            </w:pPr>
            <w:r>
              <w:rPr>
                <w:sz w:val="24"/>
              </w:rPr>
              <w:t xml:space="preserve">5</w:t>
            </w:r>
          </w:p>
        </w:tc>
        <w:tc>
          <w:tcPr>
            <w:tcW w:w="1474" w:type="dxa"/>
          </w:tcPr>
          <w:p>
            <w:pPr>
              <w:pStyle w:val="0"/>
              <w:jc w:val="center"/>
            </w:pPr>
            <w:r>
              <w:rPr>
                <w:sz w:val="24"/>
              </w:rPr>
              <w:t xml:space="preserve">6</w:t>
            </w:r>
          </w:p>
        </w:tc>
        <w:tc>
          <w:tcPr>
            <w:tcW w:w="844" w:type="dxa"/>
          </w:tcPr>
          <w:p>
            <w:pPr>
              <w:pStyle w:val="0"/>
              <w:jc w:val="center"/>
            </w:pPr>
            <w:r>
              <w:rPr>
                <w:sz w:val="24"/>
              </w:rPr>
              <w:t xml:space="preserve">7</w:t>
            </w:r>
          </w:p>
        </w:tc>
        <w:tc>
          <w:tcPr>
            <w:tcW w:w="1084" w:type="dxa"/>
          </w:tcPr>
          <w:p>
            <w:pPr>
              <w:pStyle w:val="0"/>
              <w:jc w:val="center"/>
            </w:pPr>
            <w:r>
              <w:rPr>
                <w:sz w:val="24"/>
              </w:rPr>
              <w:t xml:space="preserve">8</w:t>
            </w:r>
          </w:p>
        </w:tc>
      </w:tr>
      <w:tr>
        <w:tc>
          <w:tcPr>
            <w:tcW w:w="454" w:type="dxa"/>
          </w:tcPr>
          <w:p>
            <w:pPr>
              <w:pStyle w:val="0"/>
            </w:pPr>
            <w:r>
              <w:rPr>
                <w:sz w:val="24"/>
              </w:rPr>
            </w:r>
          </w:p>
        </w:tc>
        <w:tc>
          <w:tcPr>
            <w:tcW w:w="1279" w:type="dxa"/>
          </w:tcPr>
          <w:p>
            <w:pPr>
              <w:pStyle w:val="0"/>
            </w:pPr>
            <w:r>
              <w:rPr>
                <w:sz w:val="24"/>
              </w:rPr>
            </w:r>
          </w:p>
        </w:tc>
        <w:tc>
          <w:tcPr>
            <w:tcW w:w="1247" w:type="dxa"/>
          </w:tcPr>
          <w:p>
            <w:pPr>
              <w:pStyle w:val="0"/>
            </w:pPr>
            <w:r>
              <w:rPr>
                <w:sz w:val="24"/>
              </w:rPr>
            </w:r>
          </w:p>
        </w:tc>
        <w:tc>
          <w:tcPr>
            <w:tcW w:w="1129" w:type="dxa"/>
          </w:tcPr>
          <w:p>
            <w:pPr>
              <w:pStyle w:val="0"/>
            </w:pPr>
            <w:r>
              <w:rPr>
                <w:sz w:val="24"/>
              </w:rPr>
            </w:r>
          </w:p>
        </w:tc>
        <w:tc>
          <w:tcPr>
            <w:tcW w:w="1531" w:type="dxa"/>
          </w:tcPr>
          <w:p>
            <w:pPr>
              <w:pStyle w:val="0"/>
            </w:pPr>
            <w:r>
              <w:rPr>
                <w:sz w:val="24"/>
              </w:rPr>
            </w:r>
          </w:p>
        </w:tc>
        <w:tc>
          <w:tcPr>
            <w:tcW w:w="1474" w:type="dxa"/>
          </w:tcPr>
          <w:p>
            <w:pPr>
              <w:pStyle w:val="0"/>
            </w:pPr>
            <w:r>
              <w:rPr>
                <w:sz w:val="24"/>
              </w:rPr>
            </w:r>
          </w:p>
        </w:tc>
        <w:tc>
          <w:tcPr>
            <w:tcW w:w="844" w:type="dxa"/>
          </w:tcPr>
          <w:p>
            <w:pPr>
              <w:pStyle w:val="0"/>
            </w:pPr>
            <w:r>
              <w:rPr>
                <w:sz w:val="24"/>
              </w:rPr>
            </w:r>
          </w:p>
        </w:tc>
        <w:tc>
          <w:tcPr>
            <w:tcW w:w="1084" w:type="dxa"/>
          </w:tcPr>
          <w:p>
            <w:pPr>
              <w:pStyle w:val="0"/>
            </w:pPr>
            <w:r>
              <w:rPr>
                <w:sz w:val="24"/>
              </w:rPr>
            </w:r>
          </w:p>
        </w:tc>
      </w:tr>
    </w:tbl>
    <w:p>
      <w:pPr>
        <w:pStyle w:val="0"/>
        <w:jc w:val="both"/>
      </w:pPr>
      <w:r>
        <w:rPr>
          <w:sz w:val="24"/>
        </w:rPr>
      </w:r>
    </w:p>
    <w:p>
      <w:pPr>
        <w:pStyle w:val="1"/>
        <w:jc w:val="both"/>
      </w:pPr>
      <w:r>
        <w:rPr>
          <w:sz w:val="20"/>
        </w:rPr>
        <w:t xml:space="preserve">Тренеры,  спортивные судьи и иные специалисты в области физической культуры</w:t>
      </w:r>
    </w:p>
    <w:p>
      <w:pPr>
        <w:pStyle w:val="1"/>
        <w:jc w:val="both"/>
      </w:pPr>
      <w:r>
        <w:rPr>
          <w:sz w:val="20"/>
        </w:rPr>
        <w:t xml:space="preserve">и спорта, принимающие непосредственное участие в подготовке спортсменов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129"/>
        <w:gridCol w:w="1129"/>
        <w:gridCol w:w="1247"/>
        <w:gridCol w:w="1264"/>
        <w:gridCol w:w="1304"/>
        <w:gridCol w:w="1144"/>
        <w:gridCol w:w="1354"/>
      </w:tblGrid>
      <w:tr>
        <w:tc>
          <w:tcPr>
            <w:tcW w:w="454" w:type="dxa"/>
          </w:tcPr>
          <w:p>
            <w:pPr>
              <w:pStyle w:val="0"/>
              <w:jc w:val="center"/>
            </w:pPr>
            <w:r>
              <w:rPr>
                <w:sz w:val="24"/>
              </w:rPr>
              <w:t xml:space="preserve">N п\п</w:t>
            </w:r>
          </w:p>
        </w:tc>
        <w:tc>
          <w:tcPr>
            <w:tcW w:w="1129" w:type="dxa"/>
          </w:tcPr>
          <w:p>
            <w:pPr>
              <w:pStyle w:val="0"/>
              <w:jc w:val="center"/>
            </w:pPr>
            <w:r>
              <w:rPr>
                <w:sz w:val="24"/>
              </w:rPr>
              <w:t xml:space="preserve">Фамилия, имя и отчество (при наличии)</w:t>
            </w:r>
          </w:p>
        </w:tc>
        <w:tc>
          <w:tcPr>
            <w:tcW w:w="1129" w:type="dxa"/>
          </w:tcPr>
          <w:p>
            <w:pPr>
              <w:pStyle w:val="0"/>
              <w:jc w:val="center"/>
            </w:pPr>
            <w:r>
              <w:rPr>
                <w:sz w:val="24"/>
              </w:rPr>
              <w:t xml:space="preserve">Дата рождения</w:t>
            </w:r>
          </w:p>
        </w:tc>
        <w:tc>
          <w:tcPr>
            <w:tcW w:w="1247" w:type="dxa"/>
          </w:tcPr>
          <w:p>
            <w:pPr>
              <w:pStyle w:val="0"/>
              <w:jc w:val="center"/>
            </w:pPr>
            <w:r>
              <w:rPr>
                <w:sz w:val="24"/>
              </w:rPr>
              <w:t xml:space="preserve">Спортивное или почетное звание</w:t>
            </w:r>
          </w:p>
        </w:tc>
        <w:tc>
          <w:tcPr>
            <w:tcW w:w="1264" w:type="dxa"/>
          </w:tcPr>
          <w:p>
            <w:pPr>
              <w:pStyle w:val="0"/>
              <w:jc w:val="center"/>
            </w:pPr>
            <w:r>
              <w:rPr>
                <w:sz w:val="24"/>
              </w:rPr>
              <w:t xml:space="preserve">Должность в команде</w:t>
            </w:r>
          </w:p>
        </w:tc>
        <w:tc>
          <w:tcPr>
            <w:tcW w:w="1304" w:type="dxa"/>
          </w:tcPr>
          <w:p>
            <w:pPr>
              <w:pStyle w:val="0"/>
              <w:jc w:val="center"/>
            </w:pPr>
            <w:r>
              <w:rPr>
                <w:sz w:val="24"/>
              </w:rPr>
              <w:t xml:space="preserve">Спортивная дисциплина или группа дисциплин</w:t>
            </w:r>
          </w:p>
        </w:tc>
        <w:tc>
          <w:tcPr>
            <w:tcW w:w="1144" w:type="dxa"/>
          </w:tcPr>
          <w:p>
            <w:pPr>
              <w:pStyle w:val="0"/>
              <w:jc w:val="center"/>
            </w:pPr>
            <w:r>
              <w:rPr>
                <w:sz w:val="24"/>
              </w:rPr>
              <w:t xml:space="preserve">Основное место работы</w:t>
            </w:r>
          </w:p>
        </w:tc>
        <w:tc>
          <w:tcPr>
            <w:tcW w:w="1354" w:type="dxa"/>
          </w:tcPr>
          <w:p>
            <w:pPr>
              <w:pStyle w:val="0"/>
              <w:jc w:val="center"/>
            </w:pPr>
            <w:r>
              <w:rPr>
                <w:sz w:val="24"/>
              </w:rPr>
              <w:t xml:space="preserve">Стаж работы (количество лет)</w:t>
            </w:r>
          </w:p>
        </w:tc>
      </w:tr>
      <w:tr>
        <w:tc>
          <w:tcPr>
            <w:tcW w:w="454" w:type="dxa"/>
          </w:tcPr>
          <w:p>
            <w:pPr>
              <w:pStyle w:val="0"/>
              <w:jc w:val="center"/>
            </w:pPr>
            <w:r>
              <w:rPr>
                <w:sz w:val="24"/>
              </w:rPr>
              <w:t xml:space="preserve">1</w:t>
            </w:r>
          </w:p>
        </w:tc>
        <w:tc>
          <w:tcPr>
            <w:tcW w:w="1129" w:type="dxa"/>
          </w:tcPr>
          <w:p>
            <w:pPr>
              <w:pStyle w:val="0"/>
              <w:jc w:val="center"/>
            </w:pPr>
            <w:r>
              <w:rPr>
                <w:sz w:val="24"/>
              </w:rPr>
              <w:t xml:space="preserve">2</w:t>
            </w:r>
          </w:p>
        </w:tc>
        <w:tc>
          <w:tcPr>
            <w:tcW w:w="1129" w:type="dxa"/>
          </w:tcPr>
          <w:p>
            <w:pPr>
              <w:pStyle w:val="0"/>
              <w:jc w:val="center"/>
            </w:pPr>
            <w:r>
              <w:rPr>
                <w:sz w:val="24"/>
              </w:rPr>
              <w:t xml:space="preserve">3</w:t>
            </w:r>
          </w:p>
        </w:tc>
        <w:tc>
          <w:tcPr>
            <w:tcW w:w="1247" w:type="dxa"/>
          </w:tcPr>
          <w:p>
            <w:pPr>
              <w:pStyle w:val="0"/>
              <w:jc w:val="center"/>
            </w:pPr>
            <w:r>
              <w:rPr>
                <w:sz w:val="24"/>
              </w:rPr>
              <w:t xml:space="preserve">4</w:t>
            </w:r>
          </w:p>
        </w:tc>
        <w:tc>
          <w:tcPr>
            <w:tcW w:w="1264" w:type="dxa"/>
          </w:tcPr>
          <w:p>
            <w:pPr>
              <w:pStyle w:val="0"/>
              <w:jc w:val="center"/>
            </w:pPr>
            <w:r>
              <w:rPr>
                <w:sz w:val="24"/>
              </w:rPr>
              <w:t xml:space="preserve">5</w:t>
            </w:r>
          </w:p>
        </w:tc>
        <w:tc>
          <w:tcPr>
            <w:tcW w:w="1304" w:type="dxa"/>
          </w:tcPr>
          <w:p>
            <w:pPr>
              <w:pStyle w:val="0"/>
              <w:jc w:val="center"/>
            </w:pPr>
            <w:r>
              <w:rPr>
                <w:sz w:val="24"/>
              </w:rPr>
              <w:t xml:space="preserve">6</w:t>
            </w:r>
          </w:p>
        </w:tc>
        <w:tc>
          <w:tcPr>
            <w:tcW w:w="1144" w:type="dxa"/>
          </w:tcPr>
          <w:p>
            <w:pPr>
              <w:pStyle w:val="0"/>
              <w:jc w:val="center"/>
            </w:pPr>
            <w:r>
              <w:rPr>
                <w:sz w:val="24"/>
              </w:rPr>
              <w:t xml:space="preserve">7</w:t>
            </w:r>
          </w:p>
        </w:tc>
        <w:tc>
          <w:tcPr>
            <w:tcW w:w="1354" w:type="dxa"/>
          </w:tcPr>
          <w:p>
            <w:pPr>
              <w:pStyle w:val="0"/>
              <w:jc w:val="center"/>
            </w:pPr>
            <w:r>
              <w:rPr>
                <w:sz w:val="24"/>
              </w:rPr>
              <w:t xml:space="preserve">8</w:t>
            </w:r>
          </w:p>
        </w:tc>
      </w:tr>
      <w:tr>
        <w:tc>
          <w:tcPr>
            <w:tcW w:w="454" w:type="dxa"/>
          </w:tcPr>
          <w:p>
            <w:pPr>
              <w:pStyle w:val="0"/>
            </w:pPr>
            <w:r>
              <w:rPr>
                <w:sz w:val="24"/>
              </w:rPr>
            </w:r>
          </w:p>
        </w:tc>
        <w:tc>
          <w:tcPr>
            <w:tcW w:w="1129" w:type="dxa"/>
          </w:tcPr>
          <w:p>
            <w:pPr>
              <w:pStyle w:val="0"/>
            </w:pPr>
            <w:r>
              <w:rPr>
                <w:sz w:val="24"/>
              </w:rPr>
            </w:r>
          </w:p>
        </w:tc>
        <w:tc>
          <w:tcPr>
            <w:tcW w:w="1129" w:type="dxa"/>
          </w:tcPr>
          <w:p>
            <w:pPr>
              <w:pStyle w:val="0"/>
            </w:pPr>
            <w:r>
              <w:rPr>
                <w:sz w:val="24"/>
              </w:rPr>
            </w:r>
          </w:p>
        </w:tc>
        <w:tc>
          <w:tcPr>
            <w:tcW w:w="1247" w:type="dxa"/>
          </w:tcPr>
          <w:p>
            <w:pPr>
              <w:pStyle w:val="0"/>
            </w:pPr>
            <w:r>
              <w:rPr>
                <w:sz w:val="24"/>
              </w:rPr>
            </w:r>
          </w:p>
        </w:tc>
        <w:tc>
          <w:tcPr>
            <w:tcW w:w="1264" w:type="dxa"/>
          </w:tcPr>
          <w:p>
            <w:pPr>
              <w:pStyle w:val="0"/>
            </w:pPr>
            <w:r>
              <w:rPr>
                <w:sz w:val="24"/>
              </w:rPr>
            </w:r>
          </w:p>
        </w:tc>
        <w:tc>
          <w:tcPr>
            <w:tcW w:w="1304" w:type="dxa"/>
          </w:tcPr>
          <w:p>
            <w:pPr>
              <w:pStyle w:val="0"/>
            </w:pPr>
            <w:r>
              <w:rPr>
                <w:sz w:val="24"/>
              </w:rPr>
            </w:r>
          </w:p>
        </w:tc>
        <w:tc>
          <w:tcPr>
            <w:tcW w:w="1144" w:type="dxa"/>
          </w:tcPr>
          <w:p>
            <w:pPr>
              <w:pStyle w:val="0"/>
            </w:pPr>
            <w:r>
              <w:rPr>
                <w:sz w:val="24"/>
              </w:rPr>
            </w:r>
          </w:p>
        </w:tc>
        <w:tc>
          <w:tcPr>
            <w:tcW w:w="1354" w:type="dxa"/>
          </w:tcPr>
          <w:p>
            <w:pPr>
              <w:pStyle w:val="0"/>
            </w:pPr>
            <w:r>
              <w:rPr>
                <w:sz w:val="24"/>
              </w:rPr>
            </w:r>
          </w:p>
        </w:tc>
      </w:tr>
    </w:tbl>
    <w:p>
      <w:pPr>
        <w:pStyle w:val="0"/>
        <w:jc w:val="both"/>
      </w:pPr>
      <w:r>
        <w:rPr>
          <w:sz w:val="24"/>
        </w:rPr>
      </w:r>
    </w:p>
    <w:p>
      <w:pPr>
        <w:pStyle w:val="1"/>
        <w:jc w:val="both"/>
      </w:pPr>
      <w:r>
        <w:rPr>
          <w:sz w:val="20"/>
        </w:rPr>
        <w:t xml:space="preserve">Руководитель региональной спортивной федерации ____________________________</w:t>
      </w:r>
    </w:p>
    <w:p>
      <w:pPr>
        <w:pStyle w:val="1"/>
        <w:jc w:val="both"/>
      </w:pPr>
      <w:r>
        <w:rPr>
          <w:sz w:val="20"/>
        </w:rPr>
        <w:t xml:space="preserve">                                                ФИО (при наличии), подпись</w:t>
      </w:r>
    </w:p>
    <w:p>
      <w:pPr>
        <w:pStyle w:val="1"/>
        <w:jc w:val="both"/>
      </w:pPr>
      <w:r>
        <w:rPr>
          <w:sz w:val="20"/>
        </w:rPr>
        <w:t xml:space="preserve">                                       МП</w:t>
      </w:r>
    </w:p>
    <w:p>
      <w:pPr>
        <w:pStyle w:val="1"/>
        <w:jc w:val="both"/>
      </w:pPr>
      <w:r>
        <w:rPr>
          <w:sz w:val="20"/>
        </w:rPr>
      </w:r>
    </w:p>
    <w:p>
      <w:pPr>
        <w:pStyle w:val="1"/>
        <w:jc w:val="both"/>
      </w:pPr>
      <w:r>
        <w:rPr>
          <w:sz w:val="20"/>
        </w:rPr>
        <w:t xml:space="preserve">"___" ___________ 20___ год</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w:t>
      </w:r>
    </w:p>
    <w:p>
      <w:pPr>
        <w:pStyle w:val="0"/>
        <w:jc w:val="right"/>
      </w:pPr>
      <w:r>
        <w:rPr>
          <w:sz w:val="24"/>
        </w:rPr>
        <w:t xml:space="preserve">к Административному регламенту</w:t>
      </w:r>
    </w:p>
    <w:p>
      <w:pPr>
        <w:pStyle w:val="0"/>
        <w:jc w:val="both"/>
      </w:pPr>
      <w:r>
        <w:rPr>
          <w:sz w:val="24"/>
        </w:rPr>
      </w:r>
    </w:p>
    <w:bookmarkStart w:id="267" w:name="P267"/>
    <w:bookmarkEnd w:id="267"/>
    <w:p>
      <w:pPr>
        <w:pStyle w:val="2"/>
        <w:jc w:val="center"/>
      </w:pPr>
      <w:r>
        <w:rPr>
          <w:sz w:val="24"/>
        </w:rPr>
        <w:t xml:space="preserve">БЛОК-СХЕМА</w:t>
      </w:r>
    </w:p>
    <w:p>
      <w:pPr>
        <w:pStyle w:val="2"/>
        <w:jc w:val="center"/>
      </w:pPr>
      <w:r>
        <w:rPr>
          <w:sz w:val="24"/>
        </w:rPr>
        <w:t xml:space="preserve">ПОСЛЕДОВАТЕЛЬНОСТИ ДЕЙСТВИИ ПРИ ПРЕДОСТАВЛЕНИИ</w:t>
      </w:r>
    </w:p>
    <w:p>
      <w:pPr>
        <w:pStyle w:val="2"/>
        <w:jc w:val="center"/>
      </w:pPr>
      <w:r>
        <w:rPr>
          <w:sz w:val="24"/>
        </w:rPr>
        <w:t xml:space="preserve">ГОСУДАРСТВЕННОЙ УСЛУГИ "НАДЕЛЕНИЕ СТАТУСОМ "СПОРТИВНАЯ</w:t>
      </w:r>
    </w:p>
    <w:p>
      <w:pPr>
        <w:pStyle w:val="2"/>
        <w:jc w:val="center"/>
      </w:pPr>
      <w:r>
        <w:rPr>
          <w:sz w:val="24"/>
        </w:rPr>
        <w:t xml:space="preserve">СБОРНАЯ КОМАНДА ТОМСКОЙ ОБЛАСТИ"</w:t>
      </w:r>
    </w:p>
    <w:p>
      <w:pPr>
        <w:pStyle w:val="0"/>
        <w:jc w:val="both"/>
      </w:pPr>
      <w:r>
        <w:rPr>
          <w:sz w:val="24"/>
        </w:rPr>
      </w:r>
    </w:p>
    <w:tbl>
      <w:tblPr>
        <w:tblInd w:w="0" w:type="dxa"/>
        <w:tblLayout w:type="fixed"/>
        <w:tblBorders>
          <w:bottom w:val="single" w:sz="4"/>
          <w:insideH w:val="single" w:sz="4"/>
        </w:tblBorders>
        <w:tblCellMar>
          <w:top w:w="102" w:type="dxa"/>
          <w:left w:w="62" w:type="dxa"/>
          <w:bottom w:w="102" w:type="dxa"/>
          <w:right w:w="62" w:type="dxa"/>
        </w:tblCellMar>
      </w:tblPr>
      <w:tblGrid>
        <w:gridCol w:w="907"/>
        <w:gridCol w:w="1304"/>
        <w:gridCol w:w="2098"/>
        <w:gridCol w:w="794"/>
        <w:gridCol w:w="1814"/>
        <w:gridCol w:w="1247"/>
        <w:gridCol w:w="907"/>
      </w:tblGrid>
      <w:tr>
        <w:tc>
          <w:tcPr>
            <w:tcW w:w="907" w:type="dxa"/>
            <w:tcBorders>
              <w:top w:val="nil"/>
              <w:left w:val="nil"/>
              <w:bottom w:val="nil"/>
              <w:right w:val="nil"/>
            </w:tcBorders>
            <w:vMerge w:val="restart"/>
          </w:tcPr>
          <w:p>
            <w:pPr>
              <w:pStyle w:val="0"/>
            </w:pPr>
            <w:r>
              <w:rPr>
                <w:sz w:val="24"/>
              </w:rPr>
            </w:r>
          </w:p>
        </w:tc>
        <w:tc>
          <w:tcPr>
            <w:gridSpan w:val="5"/>
            <w:tcW w:w="7257" w:type="dxa"/>
            <w:tcBorders>
              <w:left w:val="single" w:sz="4"/>
              <w:right w:val="single" w:sz="4"/>
            </w:tcBorders>
          </w:tcPr>
          <w:p>
            <w:pPr>
              <w:pStyle w:val="0"/>
              <w:jc w:val="center"/>
            </w:pPr>
            <w:r>
              <w:rPr>
                <w:sz w:val="24"/>
              </w:rPr>
              <w:t xml:space="preserve">Прием документов, необходимых для предоставления государственной услуги (15 минут на каждого заявителя)</w:t>
            </w:r>
          </w:p>
        </w:tc>
        <w:tc>
          <w:tcPr>
            <w:tcW w:w="907" w:type="dxa"/>
            <w:tcBorders>
              <w:top w:val="nil"/>
              <w:left w:val="nil"/>
              <w:bottom w:val="nil"/>
              <w:right w:val="nil"/>
            </w:tcBorders>
            <w:vMerge w:val="restart"/>
          </w:tcPr>
          <w:p>
            <w:pPr>
              <w:pStyle w:val="0"/>
            </w:pPr>
            <w:r>
              <w:rPr>
                <w:sz w:val="24"/>
              </w:rPr>
            </w:r>
          </w:p>
        </w:tc>
      </w:tr>
      <w:tr>
        <w:tc>
          <w:tcPr>
            <w:tcBorders>
              <w:top w:val="nil"/>
              <w:left w:val="nil"/>
              <w:bottom w:val="nil"/>
              <w:right w:val="nil"/>
            </w:tcBorders>
            <w:vMerge w:val="continue"/>
          </w:tcPr>
          <w:p/>
        </w:tc>
        <w:tc>
          <w:tcPr>
            <w:gridSpan w:val="5"/>
            <w:tcW w:w="7257" w:type="dxa"/>
            <w:tcBorders>
              <w:left w:val="nil"/>
              <w:right w:val="nil"/>
            </w:tcBorders>
          </w:tcPr>
          <w:p>
            <w:pPr>
              <w:pStyle w:val="0"/>
              <w:jc w:val="center"/>
            </w:pPr>
            <w:r>
              <w:rPr>
                <w:position w:val="-6"/>
              </w:rPr>
              <w:drawing>
                <wp:inline distT="0" distB="0" distL="0" distR="0">
                  <wp:extent cx="171450" cy="2400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 cy="240030"/>
                          </a:xfrm>
                          <a:prstGeom prst="rect">
                            <a:avLst/>
                          </a:prstGeom>
                          <a:noFill/>
                          <a:ln>
                            <a:noFill/>
                          </a:ln>
                        </pic:spPr>
                      </pic:pic>
                    </a:graphicData>
                  </a:graphic>
                </wp:inline>
              </w:drawing>
            </w:r>
          </w:p>
        </w:tc>
        <w:tc>
          <w:tcPr>
            <w:tcBorders>
              <w:top w:val="nil"/>
              <w:left w:val="nil"/>
              <w:bottom w:val="nil"/>
              <w:right w:val="nil"/>
            </w:tcBorders>
            <w:vMerge w:val="continue"/>
          </w:tcPr>
          <w:p/>
        </w:tc>
      </w:tr>
      <w:tr>
        <w:tc>
          <w:tcPr>
            <w:tcBorders>
              <w:top w:val="nil"/>
              <w:left w:val="nil"/>
              <w:bottom w:val="nil"/>
              <w:right w:val="nil"/>
            </w:tcBorders>
            <w:vMerge w:val="continue"/>
          </w:tcPr>
          <w:p/>
        </w:tc>
        <w:tc>
          <w:tcPr>
            <w:gridSpan w:val="5"/>
            <w:tcW w:w="7257" w:type="dxa"/>
            <w:tcBorders>
              <w:left w:val="single" w:sz="4"/>
              <w:right w:val="single" w:sz="4"/>
            </w:tcBorders>
          </w:tcPr>
          <w:p>
            <w:pPr>
              <w:pStyle w:val="0"/>
              <w:jc w:val="center"/>
            </w:pPr>
            <w:r>
              <w:rPr>
                <w:sz w:val="24"/>
              </w:rPr>
              <w:t xml:space="preserve">Проверка документов, необходимых для предоставления государственной услуги (3 рабочих дня)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gridSpan w:val="5"/>
            <w:tcW w:w="7257" w:type="dxa"/>
            <w:tcBorders>
              <w:left w:val="nil"/>
              <w:right w:val="nil"/>
            </w:tcBorders>
          </w:tcPr>
          <w:p>
            <w:pPr>
              <w:pStyle w:val="0"/>
              <w:jc w:val="center"/>
            </w:pPr>
            <w:r>
              <w:rPr>
                <w:position w:val="-6"/>
              </w:rPr>
              <w:drawing>
                <wp:inline distT="0" distB="0" distL="0" distR="0">
                  <wp:extent cx="171450" cy="2400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 cy="240030"/>
                          </a:xfrm>
                          <a:prstGeom prst="rect">
                            <a:avLst/>
                          </a:prstGeom>
                          <a:noFill/>
                          <a:ln>
                            <a:noFill/>
                          </a:ln>
                        </pic:spPr>
                      </pic:pic>
                    </a:graphicData>
                  </a:graphic>
                </wp:inline>
              </w:drawing>
            </w:r>
          </w:p>
        </w:tc>
        <w:tc>
          <w:tcPr>
            <w:tcBorders>
              <w:top w:val="nil"/>
              <w:left w:val="nil"/>
              <w:bottom w:val="nil"/>
              <w:right w:val="nil"/>
            </w:tcBorders>
            <w:vMerge w:val="continue"/>
          </w:tcPr>
          <w:p/>
        </w:tc>
      </w:tr>
      <w:tr>
        <w:tc>
          <w:tcPr>
            <w:tcBorders>
              <w:top w:val="nil"/>
              <w:left w:val="nil"/>
              <w:bottom w:val="nil"/>
              <w:right w:val="nil"/>
            </w:tcBorders>
            <w:vMerge w:val="continue"/>
          </w:tcPr>
          <w:p/>
        </w:tc>
        <w:tc>
          <w:tcPr>
            <w:gridSpan w:val="5"/>
            <w:tcW w:w="7257" w:type="dxa"/>
            <w:tcBorders>
              <w:left w:val="single" w:sz="4"/>
              <w:right w:val="single" w:sz="4"/>
            </w:tcBorders>
          </w:tcPr>
          <w:p>
            <w:pPr>
              <w:pStyle w:val="0"/>
              <w:jc w:val="center"/>
            </w:pPr>
            <w:r>
              <w:rPr>
                <w:sz w:val="24"/>
              </w:rPr>
              <w:t xml:space="preserve">Подготовка проекта распоряжения Департамента об утверждении состава спортивной сборной команды Томской области по виду спорта для участия в межрегиональных, всероссийских спортивных соревнованиях (1 рабочий день)</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gridSpan w:val="5"/>
            <w:tcW w:w="7257" w:type="dxa"/>
            <w:tcBorders>
              <w:left w:val="nil"/>
              <w:right w:val="nil"/>
            </w:tcBorders>
          </w:tcPr>
          <w:p>
            <w:pPr>
              <w:pStyle w:val="0"/>
              <w:jc w:val="center"/>
            </w:pPr>
            <w:r>
              <w:rPr>
                <w:position w:val="-6"/>
              </w:rPr>
              <w:drawing>
                <wp:inline distT="0" distB="0" distL="0" distR="0">
                  <wp:extent cx="171450" cy="2400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 cy="240030"/>
                          </a:xfrm>
                          <a:prstGeom prst="rect">
                            <a:avLst/>
                          </a:prstGeom>
                          <a:noFill/>
                          <a:ln>
                            <a:noFill/>
                          </a:ln>
                        </pic:spPr>
                      </pic:pic>
                    </a:graphicData>
                  </a:graphic>
                </wp:inline>
              </w:drawing>
            </w:r>
          </w:p>
        </w:tc>
        <w:tc>
          <w:tcPr>
            <w:tcBorders>
              <w:top w:val="nil"/>
              <w:left w:val="nil"/>
              <w:bottom w:val="nil"/>
              <w:right w:val="nil"/>
            </w:tcBorders>
            <w:vMerge w:val="continue"/>
          </w:tcPr>
          <w:p/>
        </w:tc>
      </w:tr>
      <w:tr>
        <w:tblPrEx>
          <w:tblBorders>
            <w:insideH w:val="nil"/>
          </w:tblBorders>
        </w:tblPrEx>
        <w:tc>
          <w:tcPr>
            <w:tcBorders>
              <w:top w:val="nil"/>
              <w:left w:val="nil"/>
              <w:bottom w:val="nil"/>
              <w:right w:val="nil"/>
            </w:tcBorders>
            <w:vMerge w:val="continue"/>
          </w:tcPr>
          <w:p/>
        </w:tc>
        <w:tc>
          <w:tcPr>
            <w:gridSpan w:val="5"/>
            <w:tcW w:w="7257" w:type="dxa"/>
            <w:tcBorders>
              <w:left w:val="single" w:sz="4"/>
              <w:right w:val="single" w:sz="4"/>
            </w:tcBorders>
          </w:tcPr>
          <w:p>
            <w:pPr>
              <w:pStyle w:val="0"/>
              <w:jc w:val="center"/>
            </w:pPr>
            <w:r>
              <w:rPr>
                <w:sz w:val="24"/>
              </w:rPr>
              <w:t xml:space="preserve">Подписание распоряжения об утверждении состава спортивной сборной команды Томской области по виду спорта для участия в межрегиональных, всероссийских спортивных соревнованиях (1 рабочий день)</w:t>
            </w:r>
          </w:p>
        </w:tc>
        <w:tc>
          <w:tcPr>
            <w:tcBorders>
              <w:top w:val="nil"/>
              <w:left w:val="nil"/>
              <w:bottom w:val="nil"/>
              <w:right w:val="nil"/>
            </w:tcBorders>
            <w:vMerge w:val="continue"/>
          </w:tcPr>
          <w:p/>
        </w:tc>
      </w:tr>
      <w:tr>
        <w:tblPrEx>
          <w:tblBorders>
            <w:insideV w:val="single" w:sz="4"/>
            <w:insideH w:val="nil"/>
          </w:tblBorders>
        </w:tblPrEx>
        <w:tc>
          <w:tcPr>
            <w:gridSpan w:val="2"/>
            <w:tcW w:w="2211" w:type="dxa"/>
            <w:tcBorders>
              <w:top w:val="nil"/>
              <w:left w:val="nil"/>
            </w:tcBorders>
          </w:tcPr>
          <w:p>
            <w:pPr>
              <w:pStyle w:val="0"/>
            </w:pPr>
            <w:r>
              <w:rPr>
                <w:sz w:val="24"/>
              </w:rPr>
            </w:r>
          </w:p>
        </w:tc>
        <w:tc>
          <w:tcPr>
            <w:gridSpan w:val="3"/>
            <w:tcW w:w="4706" w:type="dxa"/>
            <w:tcBorders>
              <w:bottom w:val="nil"/>
            </w:tcBorders>
          </w:tcPr>
          <w:p>
            <w:pPr>
              <w:pStyle w:val="0"/>
            </w:pPr>
            <w:r>
              <w:rPr>
                <w:sz w:val="24"/>
              </w:rPr>
            </w:r>
          </w:p>
        </w:tc>
        <w:tc>
          <w:tcPr>
            <w:gridSpan w:val="2"/>
            <w:tcW w:w="2154" w:type="dxa"/>
            <w:tcBorders>
              <w:top w:val="nil"/>
              <w:right w:val="nil"/>
            </w:tcBorders>
          </w:tcPr>
          <w:p>
            <w:pPr>
              <w:pStyle w:val="0"/>
            </w:pPr>
            <w:r>
              <w:rPr>
                <w:sz w:val="24"/>
              </w:rPr>
            </w:r>
          </w:p>
        </w:tc>
      </w:tr>
      <w:tr>
        <w:tblPrEx>
          <w:tblBorders>
            <w:left w:val="single" w:sz="4"/>
            <w:right w:val="single" w:sz="4"/>
            <w:insideV w:val="single" w:sz="4"/>
          </w:tblBorders>
        </w:tblPrEx>
        <w:tc>
          <w:tcPr>
            <w:gridSpan w:val="3"/>
            <w:tcW w:w="4309" w:type="dxa"/>
          </w:tcPr>
          <w:p>
            <w:pPr>
              <w:pStyle w:val="0"/>
              <w:jc w:val="center"/>
            </w:pPr>
            <w:r>
              <w:rPr>
                <w:sz w:val="24"/>
              </w:rPr>
              <w:t xml:space="preserve">Направление копии распоряжения Департамента об утверждении состава спортивной сборной команды Томской области по виду спорта для участия в межрегиональных, всероссийских спортивных соревнованиях в ОГАУ "Центр спортивной подготовки сборных команд Томской области" для обеспечения участия спортивной сборной команды Томской области в межрегиональных, всероссийских спортивных соревнованиях в рамках выполнения государственного задания</w:t>
            </w:r>
          </w:p>
          <w:p>
            <w:pPr>
              <w:pStyle w:val="0"/>
              <w:jc w:val="center"/>
            </w:pPr>
            <w:r>
              <w:rPr>
                <w:sz w:val="24"/>
              </w:rPr>
              <w:t xml:space="preserve">(3 рабочих дня)</w:t>
            </w:r>
          </w:p>
        </w:tc>
        <w:tc>
          <w:tcPr>
            <w:tcW w:w="794" w:type="dxa"/>
            <w:tcBorders>
              <w:top w:val="nil"/>
              <w:bottom w:val="nil"/>
            </w:tcBorders>
          </w:tcPr>
          <w:p>
            <w:pPr>
              <w:pStyle w:val="0"/>
            </w:pPr>
            <w:r>
              <w:rPr>
                <w:sz w:val="24"/>
              </w:rPr>
            </w:r>
          </w:p>
        </w:tc>
        <w:tc>
          <w:tcPr>
            <w:gridSpan w:val="3"/>
            <w:tcW w:w="3968" w:type="dxa"/>
          </w:tcPr>
          <w:p>
            <w:pPr>
              <w:pStyle w:val="0"/>
              <w:jc w:val="center"/>
            </w:pPr>
            <w:r>
              <w:rPr>
                <w:sz w:val="24"/>
              </w:rPr>
              <w:t xml:space="preserve">Направление письменного отказа в утверждении списка спортивной сборной команды Томской области для участия в межрегиональных, всероссийских спортивных соревнованиях Заявителю</w:t>
            </w:r>
          </w:p>
          <w:p>
            <w:pPr>
              <w:pStyle w:val="0"/>
              <w:jc w:val="center"/>
            </w:pPr>
            <w:r>
              <w:rPr>
                <w:sz w:val="24"/>
              </w:rPr>
              <w:t xml:space="preserve">(3 рабочих дня)</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Департамента спорта Томской области от 26.04.2024 N 25</w:t>
            <w:br/>
            <w:t>"Об утверждении Административного регламента предоставлени...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02.09.2025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image" Target="media/image2.wmf"/>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спорта Томской области от 26.04.2024 N 25
"Об утверждении Административного регламента предоставления государственной услуги "Наделение статусом "Спортивная сборная команда Томской области"</dc:title>
  <dcterms:created xsi:type="dcterms:W3CDTF">2025-09-02T07:22:28Z</dcterms:created>
</cp:coreProperties>
</file>