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396949">
        <w:rPr>
          <w:rFonts w:ascii="PT Astra Serif" w:hAnsi="PT Astra Serif"/>
          <w:sz w:val="28"/>
          <w:szCs w:val="28"/>
        </w:rPr>
        <w:t>консультанта</w:t>
      </w:r>
      <w:r>
        <w:rPr>
          <w:rFonts w:ascii="PT Astra Serif" w:hAnsi="PT Astra Serif"/>
          <w:sz w:val="28"/>
          <w:szCs w:val="28"/>
        </w:rPr>
        <w:t xml:space="preserve"> комитета </w:t>
      </w:r>
      <w:r w:rsidR="00396949">
        <w:rPr>
          <w:rFonts w:ascii="PT Astra Serif" w:hAnsi="PT Astra Serif"/>
          <w:sz w:val="28"/>
          <w:szCs w:val="28"/>
        </w:rPr>
        <w:t>организационно-правовой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396949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396949"/>
    <w:rsid w:val="005F1C38"/>
    <w:rsid w:val="00660047"/>
    <w:rsid w:val="007805C4"/>
    <w:rsid w:val="00950E0A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2024-09-27T06:33:00Z</dcterms:created>
  <dcterms:modified xsi:type="dcterms:W3CDTF">2024-09-27T06:33:00Z</dcterms:modified>
</cp:coreProperties>
</file>