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header2.xml" ContentType="application/vnd.openxmlformats-officedocument.wordprocessingml.header+xml"/>
  <Override PartName="/word/media/image1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PT Astra Serif" w:hAnsi="PT Astra Serif"/>
          <w:b/>
          <w:sz w:val="26"/>
          <w:szCs w:val="20"/>
        </w:rPr>
      </w:pPr>
      <w:r>
        <w:rPr>
          <w:rFonts w:ascii="PT Astra Serif" w:hAnsi="PT Astra Serif"/>
          <w:b/>
          <w:sz w:val="26"/>
          <w:szCs w:val="20"/>
        </w:rPr>
        <w:t>ПРИКАЗ</w:t>
      </w:r>
    </w:p>
    <w:p>
      <w:pPr>
        <w:pStyle w:val="Normal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</w:p>
    <w:p>
      <w:pPr>
        <w:pStyle w:val="Normal"/>
        <w:tabs>
          <w:tab w:val="clear" w:pos="708"/>
          <w:tab w:val="left" w:pos="7626" w:leader="none"/>
        </w:tabs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ab/>
        <w:t>№</w:t>
      </w:r>
    </w:p>
    <w:p>
      <w:pPr>
        <w:pStyle w:val="Normal"/>
        <w:tabs>
          <w:tab w:val="clear" w:pos="708"/>
          <w:tab w:val="left" w:pos="7626" w:leader="none"/>
        </w:tabs>
        <w:jc w:val="both"/>
        <w:rPr>
          <w:rFonts w:ascii="PT Astra Serif" w:hAnsi="PT Astra Serif"/>
          <w:b/>
          <w:bCs/>
          <w:sz w:val="26"/>
          <w:szCs w:val="26"/>
        </w:rPr>
      </w:pPr>
      <w:r>
        <w:rPr/>
      </w:r>
    </w:p>
    <w:p>
      <w:pPr>
        <w:pStyle w:val="Normal"/>
        <w:tabs>
          <w:tab w:val="clear" w:pos="708"/>
          <w:tab w:val="left" w:pos="7626" w:leader="none"/>
        </w:tabs>
        <w:jc w:val="both"/>
        <w:rPr>
          <w:rFonts w:ascii="PT Astra Serif" w:hAnsi="PT Astra Serif"/>
          <w:b/>
          <w:bCs/>
          <w:sz w:val="26"/>
          <w:szCs w:val="26"/>
        </w:rPr>
      </w:pPr>
      <w:r>
        <w:rPr/>
      </w:r>
    </w:p>
    <w:p>
      <w:pPr>
        <w:pStyle w:val="Normal"/>
        <w:tabs>
          <w:tab w:val="clear" w:pos="708"/>
          <w:tab w:val="left" w:pos="7626" w:leader="none"/>
        </w:tabs>
        <w:jc w:val="both"/>
        <w:rPr>
          <w:rFonts w:ascii="PT Astra Serif" w:hAnsi="PT Astra Serif"/>
          <w:b/>
          <w:bCs/>
          <w:sz w:val="26"/>
          <w:szCs w:val="26"/>
        </w:rPr>
      </w:pPr>
      <w:r>
        <w:rPr/>
      </w:r>
    </w:p>
    <w:p>
      <w:pPr>
        <w:pStyle w:val="Normal"/>
        <w:ind w:right="-1" w:hang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right="-1" w:hang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jc w:val="center"/>
        <w:rPr/>
      </w:pPr>
      <w:r>
        <w:rPr/>
        <w:t>Об утверждении Административного регламента предоставления государственной услуги</w:t>
      </w:r>
    </w:p>
    <w:p>
      <w:pPr>
        <w:pStyle w:val="Normal"/>
        <w:jc w:val="center"/>
        <w:rPr/>
      </w:pPr>
      <w:r>
        <w:rPr/>
        <w:t xml:space="preserve"> </w:t>
      </w:r>
      <w:r>
        <w:rPr/>
        <w:t>«</w:t>
      </w:r>
      <w:r>
        <w:rPr>
          <w:bCs/>
        </w:rPr>
        <w:t>Включение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</w:t>
      </w:r>
    </w:p>
    <w:p>
      <w:pPr>
        <w:pStyle w:val="Normal"/>
        <w:ind w:right="14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/>
      </w:pPr>
      <w:r>
        <w:rPr/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>
      <w:pPr>
        <w:pStyle w:val="Normal"/>
        <w:tabs>
          <w:tab w:val="clear" w:pos="708"/>
          <w:tab w:val="left" w:pos="567" w:leader="none"/>
          <w:tab w:val="left" w:pos="709" w:leader="none"/>
        </w:tabs>
        <w:jc w:val="both"/>
        <w:rPr>
          <w:bCs/>
        </w:rPr>
      </w:pPr>
      <w:r>
        <w:rPr>
          <w:bCs/>
        </w:rPr>
        <w:tab/>
        <w:tab/>
        <w:t>ПРИКАЗЫВАЮ: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1. Утвердить прилагаемый Административный регламент </w:t>
      </w:r>
      <w:r>
        <w:rPr>
          <w:rFonts w:cs="Times New Roman" w:ascii="Times New Roman" w:hAnsi="Times New Roman"/>
          <w:sz w:val="24"/>
          <w:szCs w:val="24"/>
        </w:rPr>
        <w:t>предоставления государственной услуги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«В</w:t>
      </w:r>
      <w:r>
        <w:rPr>
          <w:rFonts w:cs="Times New Roman" w:ascii="Times New Roman" w:hAnsi="Times New Roman"/>
          <w:bCs/>
          <w:sz w:val="24"/>
          <w:szCs w:val="24"/>
        </w:rPr>
        <w:t>ключение в областной реестр молодежных и детских общественных объединений, пользующихся государственной поддержкой»</w:t>
      </w:r>
      <w:r>
        <w:rPr>
          <w:rFonts w:cs="Times New Roman" w:ascii="Times New Roman" w:hAnsi="Times New Roman"/>
          <w:sz w:val="24"/>
          <w:szCs w:val="24"/>
        </w:rPr>
        <w:t xml:space="preserve"> (далее – Административный регламент). </w:t>
      </w:r>
    </w:p>
    <w:p>
      <w:pPr>
        <w:pStyle w:val="Normal"/>
        <w:tabs>
          <w:tab w:val="clear" w:pos="708"/>
          <w:tab w:val="left" w:pos="713" w:leader="none"/>
          <w:tab w:val="left" w:pos="1147" w:leader="none"/>
        </w:tabs>
        <w:jc w:val="both"/>
        <w:rPr/>
      </w:pPr>
      <w:r>
        <w:rPr/>
        <w:tab/>
        <w:t>2.</w:t>
      </w:r>
      <w:r>
        <w:rPr>
          <w:bCs/>
        </w:rPr>
        <w:t xml:space="preserve"> Контроль за исполнением настоящего приказа оставляю за собой.</w:t>
      </w:r>
    </w:p>
    <w:p>
      <w:pPr>
        <w:pStyle w:val="Normal"/>
        <w:tabs>
          <w:tab w:val="clear" w:pos="708"/>
          <w:tab w:val="left" w:pos="713" w:leader="none"/>
          <w:tab w:val="left" w:pos="1147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713" w:leader="none"/>
          <w:tab w:val="left" w:pos="1147" w:leader="none"/>
        </w:tabs>
        <w:jc w:val="both"/>
        <w:rPr/>
      </w:pPr>
      <w:r>
        <w:rPr/>
      </w:r>
    </w:p>
    <w:p>
      <w:pPr>
        <w:pStyle w:val="Style25"/>
        <w:tabs>
          <w:tab w:val="clear" w:pos="708"/>
          <w:tab w:val="left" w:pos="7285" w:leader="none"/>
        </w:tabs>
        <w:spacing w:before="0" w:after="0"/>
        <w:rPr>
          <w:b w:val="false"/>
          <w:sz w:val="24"/>
          <w:szCs w:val="24"/>
        </w:rPr>
      </w:pPr>
      <w:r>
        <w:rPr>
          <w:b w:val="false"/>
          <w:sz w:val="24"/>
          <w:szCs w:val="24"/>
        </w:rPr>
      </w:r>
    </w:p>
    <w:p>
      <w:pPr>
        <w:pStyle w:val="Style25"/>
        <w:tabs>
          <w:tab w:val="clear" w:pos="708"/>
          <w:tab w:val="left" w:pos="7285" w:leader="none"/>
        </w:tabs>
        <w:spacing w:before="0" w:after="0"/>
        <w:rPr>
          <w:b w:val="false"/>
          <w:sz w:val="24"/>
          <w:szCs w:val="24"/>
        </w:rPr>
      </w:pPr>
      <w:r>
        <w:rPr>
          <w:b w:val="false"/>
          <w:sz w:val="24"/>
          <w:szCs w:val="24"/>
        </w:rPr>
        <w:t xml:space="preserve">И.о. начальника Департамента   </w:t>
        <w:tab/>
        <w:t xml:space="preserve">                      И.Л. Белковец</w:t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tbl>
      <w:tblPr>
        <w:tblStyle w:val="a4"/>
        <w:tblW w:w="1030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5920"/>
        <w:gridCol w:w="4388"/>
      </w:tblGrid>
      <w:tr>
        <w:trPr/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</w:rPr>
            </w:pPr>
            <w:r>
              <w:rPr>
                <w:b/>
                <w:sz w:val="20"/>
              </w:rPr>
            </w: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50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val="ru-RU" w:eastAsia="ru-RU" w:bidi="ar-SA"/>
              </w:rPr>
              <w:t>УТВЕРЖДЕН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0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sz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lang w:val="ru-RU" w:eastAsia="ru-RU" w:bidi="ar-SA"/>
              </w:rPr>
              <w:t>приказом Департамента по молодежной политике Томской области</w:t>
            </w:r>
          </w:p>
        </w:tc>
      </w:tr>
    </w:tbl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/>
        <w:t>Административный регламент</w:t>
      </w:r>
    </w:p>
    <w:p>
      <w:pPr>
        <w:pStyle w:val="Normal"/>
        <w:jc w:val="center"/>
        <w:rPr/>
      </w:pPr>
      <w:r>
        <w:rPr/>
        <w:t>предоставления государственной услуги</w:t>
      </w:r>
    </w:p>
    <w:p>
      <w:pPr>
        <w:pStyle w:val="Normal"/>
        <w:jc w:val="center"/>
        <w:rPr/>
      </w:pPr>
      <w:r>
        <w:rPr/>
        <w:t xml:space="preserve"> </w:t>
      </w:r>
      <w:r>
        <w:rPr/>
        <w:t>«</w:t>
      </w:r>
      <w:r>
        <w:rPr>
          <w:bCs/>
        </w:rPr>
        <w:t>Включение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</w:t>
      </w:r>
    </w:p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1"/>
        <w:keepLines w:val="false"/>
        <w:overflowPunct w:val="false"/>
        <w:spacing w:before="0" w:after="0"/>
        <w:ind w:left="426" w:hanging="0"/>
        <w:jc w:val="center"/>
        <w:textAlignment w:val="baseline"/>
        <w:rPr>
          <w:rFonts w:ascii="Times New Roman" w:hAnsi="Times New Roman" w:cs="Times New Roman"/>
          <w:b w:val="false"/>
          <w:color w:val="auto"/>
          <w:sz w:val="24"/>
          <w:szCs w:val="24"/>
        </w:rPr>
      </w:pPr>
      <w:bookmarkStart w:id="2" w:name="_Toc136151950"/>
      <w:bookmarkStart w:id="3" w:name="_Toc136239795"/>
      <w:bookmarkStart w:id="4" w:name="_Toc136321769"/>
      <w:bookmarkStart w:id="5" w:name="_Toc136666921"/>
      <w:r>
        <w:rPr>
          <w:rFonts w:cs="Times New Roman" w:ascii="Times New Roman" w:hAnsi="Times New Roman"/>
          <w:b w:val="false"/>
          <w:color w:val="auto"/>
          <w:sz w:val="24"/>
          <w:szCs w:val="24"/>
        </w:rPr>
        <w:t>1. Общие положения</w:t>
      </w:r>
      <w:bookmarkEnd w:id="2"/>
      <w:bookmarkEnd w:id="3"/>
      <w:bookmarkEnd w:id="4"/>
      <w:bookmarkEnd w:id="5"/>
    </w:p>
    <w:p>
      <w:pPr>
        <w:pStyle w:val="Normal"/>
        <w:rPr/>
      </w:pPr>
      <w:r>
        <w:rPr/>
      </w:r>
    </w:p>
    <w:p>
      <w:pPr>
        <w:pStyle w:val="Normal"/>
        <w:ind w:firstLine="540"/>
        <w:jc w:val="both"/>
        <w:rPr/>
      </w:pPr>
      <w:r>
        <w:rPr/>
        <w:t>1. Административный регламент предоставления государственной услуги 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 (далее - Регламент) разработан в целях повышения качества предоставления государственной услуги, создания комфортных условий для ее получателей и устанавливает сроки и последовательность административных процедур и административных действий Департамента по молодёжной политике Томской области, осуществляемых при предоставлении государственной услуги по в</w:t>
      </w:r>
      <w:r>
        <w:rPr>
          <w:bCs/>
        </w:rPr>
        <w:t xml:space="preserve">ключению в областной реестр молодежных и детских общественных объединений, пользующихся государственной поддержкой, а также </w:t>
      </w:r>
      <w:r>
        <w:rPr/>
        <w:t>устанавливает порядок предоставления государственной или муниципальной услуги и стандарт предоставления государственной или муниципальной услуги.</w:t>
      </w:r>
    </w:p>
    <w:p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false"/>
          <w:color w:val="auto"/>
          <w:sz w:val="24"/>
          <w:szCs w:val="24"/>
        </w:rPr>
      </w:pPr>
      <w:r>
        <w:rPr>
          <w:rFonts w:cs="Times New Roman" w:ascii="Times New Roman" w:hAnsi="Times New Roman"/>
          <w:b w:val="false"/>
          <w:color w:val="auto"/>
          <w:sz w:val="24"/>
          <w:szCs w:val="24"/>
        </w:rPr>
        <w:t>2. Регламент разработан Департаментом по молодёжной политике Томской области на основании части 1 статьи 13 Федерального закона от 27.07.2010 № 210-ФЗ «Об организации предоставления государственных и муниципальных услуг», а также Распоряжения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540"/>
        <w:jc w:val="both"/>
        <w:rPr/>
      </w:pPr>
      <w:r>
        <w:rPr/>
        <w:t xml:space="preserve">3. Заявителями на получение государственной услуги являются межрегиональные, региональные, местные молодежные общественные объединения граждан в возрасте до 35 лет, объединившихся на основе общности интересов, и детские общественные объединения, в которые входят граждане в возрасте до 18 лет и совершеннолетние граждане, объединившиеся для совместной деятельности, расположенные на территории Томской области, являющиеся юридическими лицами и действующие не менее одного года с момента их государственной регистрации, имеющие право на включение в областной реестр молодежных и детских общественных объединений, пользующихся государственной поддержкой.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4.</w:t>
      </w:r>
      <w:r>
        <w:rPr>
          <w:rFonts w:cs="Times New Roman CYR" w:ascii="Times New Roman CYR" w:hAnsi="Times New Roman CYR"/>
          <w:iCs/>
        </w:rPr>
        <w:t xml:space="preserve"> Порядок информирования о предоставлении государственной услуги: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1) место нахождения Департамента по молодёжной политике Томской области: 634050, г. Томск, Московский тракт, д. 12, 3 этаж;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/>
      </w:pPr>
      <w:r>
        <w:rPr/>
        <w:t xml:space="preserve">2) график работы Департамента по молодёжной политике Томской области: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>
          <w:color w:val="000000"/>
        </w:rPr>
      </w:pPr>
      <w:r>
        <w:rPr>
          <w:color w:val="000000"/>
        </w:rPr>
        <w:t>понедельник с 09:00 до 12.30 и с 13.30 до 18:00 час.;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>
          <w:color w:val="000000"/>
        </w:rPr>
      </w:pPr>
      <w:r>
        <w:rPr>
          <w:color w:val="000000"/>
        </w:rPr>
        <w:t>вторник-четверг с 08:45 до 12.30 и с 13.30 до 18:00 час.;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/>
      </w:pPr>
      <w:r>
        <w:rPr/>
        <w:t xml:space="preserve">пятница с 08:45 до 12.30 и с 13.30 до 17:00 час.;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/>
      </w:pPr>
      <w:r>
        <w:rPr/>
        <w:t>выходные дни: суббота и воскресение;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3) прием документов ведется специалистом Департамента, ответственным за предоставление государственной услуги: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вторник: 14:00-18:00 час.;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четверг: 14:00-18:00 час.;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4) информация о месте нахождения и графике работы Департамента и о месте нахождения и графике работы специалиста, участвующего в предоставлении государственной услуги, может быть получена по телефонам: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приемной Департамента по молодёжной политике Томской области: +7 (3822) 274-340;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 xml:space="preserve">специалиста: +7 (3822) 278-299; 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20" w:leader="none"/>
          <w:tab w:val="left" w:pos="1276" w:leader="none"/>
        </w:tabs>
        <w:ind w:firstLine="709"/>
        <w:jc w:val="both"/>
        <w:rPr>
          <w:iCs/>
        </w:rPr>
      </w:pPr>
      <w:r>
        <w:rPr>
          <w:iCs/>
        </w:rPr>
        <w:t xml:space="preserve">5) информация </w:t>
      </w:r>
      <w:r>
        <w:rPr/>
        <w:t xml:space="preserve">о месте нахождения, графике работы, контактных телефонах, адресе электронной почты специалиста Департамента по молодёжной политике Томской области, участвующего в предоставлении государственной услуги, а также информация о порядке предоставления государственной услуги размещена на официальном сайте Департамента по молодёжной политике Томской области по адресу информационно-телекоммуникационной сети «Интернет» (далее – сети «Интернет»): https://molodezh.tomsk.gov.ru/, </w:t>
      </w:r>
      <w:r>
        <w:rPr>
          <w:iCs/>
          <w:color w:val="000000"/>
        </w:rPr>
        <w:t>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</w:t>
      </w:r>
      <w:r>
        <w:rPr>
          <w:iCs/>
        </w:rPr>
        <w:t xml:space="preserve">Интернет»: </w:t>
      </w:r>
      <w:hyperlink r:id="rId2">
        <w:r>
          <w:rPr>
            <w:rStyle w:val="-"/>
            <w:iCs/>
            <w:color w:val="auto"/>
            <w:lang w:val="en-US"/>
          </w:rPr>
          <w:t>www</w:t>
        </w:r>
        <w:r>
          <w:rPr>
            <w:rStyle w:val="-"/>
            <w:iCs/>
            <w:color w:val="auto"/>
          </w:rPr>
          <w:t>.</w:t>
        </w:r>
        <w:r>
          <w:rPr>
            <w:rStyle w:val="-"/>
            <w:iCs/>
            <w:color w:val="auto"/>
            <w:lang w:val="en-US"/>
          </w:rPr>
          <w:t>gosuslugi</w:t>
        </w:r>
        <w:r>
          <w:rPr>
            <w:rStyle w:val="-"/>
            <w:iCs/>
            <w:color w:val="auto"/>
          </w:rPr>
          <w:t>.</w:t>
        </w:r>
        <w:r>
          <w:rPr>
            <w:rStyle w:val="-"/>
            <w:iCs/>
            <w:color w:val="auto"/>
            <w:lang w:val="en-US"/>
          </w:rPr>
          <w:t>ru</w:t>
        </w:r>
      </w:hyperlink>
      <w:r>
        <w:rPr>
          <w:iCs/>
        </w:rPr>
        <w:t xml:space="preserve">;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76" w:leader="none"/>
        </w:tabs>
        <w:ind w:firstLine="709"/>
        <w:jc w:val="both"/>
        <w:rPr>
          <w:rFonts w:ascii="Times New Roman CYR" w:hAnsi="Times New Roman CYR" w:cs="Times New Roman CYR"/>
          <w:iCs/>
        </w:rPr>
      </w:pPr>
      <w:r>
        <w:rPr>
          <w:iCs/>
        </w:rPr>
        <w:t xml:space="preserve">6) адрес электронной почты Департамента: </w:t>
      </w:r>
      <w:hyperlink r:id="rId3">
        <w:r>
          <w:rPr>
            <w:rStyle w:val="-"/>
            <w:rFonts w:cs="Times New Roman CYR" w:ascii="Times New Roman CYR" w:hAnsi="Times New Roman CYR"/>
            <w:iCs/>
            <w:color w:val="auto"/>
          </w:rPr>
          <w:t>dep-m</w:t>
        </w:r>
        <w:r>
          <w:rPr>
            <w:rStyle w:val="-"/>
            <w:rFonts w:cs="Times New Roman CYR" w:ascii="Times New Roman CYR" w:hAnsi="Times New Roman CYR"/>
            <w:iCs/>
            <w:color w:val="auto"/>
            <w:lang w:val="en-US"/>
          </w:rPr>
          <w:t>p</w:t>
        </w:r>
        <w:r>
          <w:rPr>
            <w:rStyle w:val="-"/>
            <w:rFonts w:cs="Times New Roman CYR" w:ascii="Times New Roman CYR" w:hAnsi="Times New Roman CYR"/>
            <w:iCs/>
            <w:color w:val="auto"/>
          </w:rPr>
          <w:t>@tomsk.gov.ru</w:t>
        </w:r>
      </w:hyperlink>
      <w:r>
        <w:rPr>
          <w:rFonts w:cs="Times New Roman CYR" w:ascii="Times New Roman CYR" w:hAnsi="Times New Roman CYR"/>
          <w:iCs/>
        </w:rPr>
        <w:t xml:space="preserve">; 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>
          <w:rFonts w:cs="Times New Roman CYR" w:ascii="Times New Roman CYR" w:hAnsi="Times New Roman CYR"/>
          <w:iCs/>
        </w:rPr>
        <w:t xml:space="preserve">7) </w:t>
      </w:r>
      <w:r>
        <w:rPr/>
        <w:t>информацию по вопросам предоставления государственной услуги</w:t>
      </w:r>
      <w:r>
        <w:rPr>
          <w:bCs/>
        </w:rPr>
        <w:t xml:space="preserve"> </w:t>
      </w:r>
      <w:r>
        <w:rPr/>
        <w:t>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 xml:space="preserve">» можно получить: 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>
          <w:iCs/>
        </w:rPr>
        <w:t>посредством личного обращения в часы приема;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 xml:space="preserve">по телефону специалиста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76" w:leader="none"/>
        </w:tabs>
        <w:ind w:firstLine="709"/>
        <w:jc w:val="both"/>
        <w:rPr>
          <w:iCs/>
        </w:rPr>
      </w:pPr>
      <w:r>
        <w:rPr/>
        <w:t xml:space="preserve">при обращении в письменной форме почтовым отправлением в адрес Департамента по молодёжной политике Томской области: </w:t>
      </w:r>
      <w:r>
        <w:rPr>
          <w:iCs/>
        </w:rPr>
        <w:t>634050, г. Томск, Московский тракт, д. 12., 3 этаж;</w:t>
      </w:r>
    </w:p>
    <w:p>
      <w:pPr>
        <w:pStyle w:val="Normal"/>
        <w:ind w:firstLine="709"/>
        <w:jc w:val="both"/>
        <w:rPr>
          <w:iCs/>
        </w:rPr>
      </w:pPr>
      <w:r>
        <w:rPr>
          <w:iCs/>
        </w:rPr>
        <w:t xml:space="preserve">при обращении в </w:t>
      </w:r>
      <w:r>
        <w:rPr>
          <w:bCs/>
        </w:rPr>
        <w:t xml:space="preserve">многофункциональный центр </w:t>
      </w:r>
      <w:r>
        <w:rPr/>
        <w:t>(в случае заключения соглашения о взаимодействии)</w:t>
      </w:r>
      <w:r>
        <w:rPr>
          <w:iCs/>
        </w:rPr>
        <w:t>.</w:t>
      </w:r>
    </w:p>
    <w:p>
      <w:pPr>
        <w:pStyle w:val="Normal"/>
        <w:ind w:firstLine="709"/>
        <w:jc w:val="both"/>
        <w:rPr/>
      </w:pPr>
      <w:r>
        <w:rPr/>
        <w:t>5. Условия информирования о предоставлении государственной услуги:</w:t>
      </w:r>
    </w:p>
    <w:p>
      <w:pPr>
        <w:pStyle w:val="Normal"/>
        <w:ind w:firstLine="709"/>
        <w:jc w:val="both"/>
        <w:rPr/>
      </w:pPr>
      <w:r>
        <w:rPr/>
        <w:t>Информация о предоставлении государственной услуги размещается на Портале, а также сайте Департамента по адресу в сети «Интернет»: https://molodezh.tomsk.gov.ru/.</w:t>
      </w:r>
    </w:p>
    <w:p>
      <w:pPr>
        <w:pStyle w:val="Default"/>
        <w:ind w:firstLine="709"/>
        <w:jc w:val="both"/>
        <w:rPr/>
      </w:pPr>
      <w:r>
        <w:rPr/>
        <w:t xml:space="preserve">На Портале, сайте </w:t>
      </w:r>
      <w:r>
        <w:rPr>
          <w:color w:val="auto"/>
        </w:rPr>
        <w:t xml:space="preserve">Департамента </w:t>
      </w:r>
      <w:r>
        <w:rPr/>
        <w:t xml:space="preserve">размещается следующая информация: </w:t>
      </w:r>
    </w:p>
    <w:p>
      <w:pPr>
        <w:pStyle w:val="Default"/>
        <w:ind w:firstLine="709"/>
        <w:jc w:val="both"/>
        <w:rPr/>
      </w:pPr>
      <w:r>
        <w:rPr/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>
      <w:pPr>
        <w:pStyle w:val="Default"/>
        <w:ind w:firstLine="709"/>
        <w:jc w:val="both"/>
        <w:rPr/>
      </w:pPr>
      <w:r>
        <w:rPr/>
        <w:t xml:space="preserve">2) круг заявителей; </w:t>
      </w:r>
    </w:p>
    <w:p>
      <w:pPr>
        <w:pStyle w:val="Default"/>
        <w:ind w:firstLine="709"/>
        <w:jc w:val="both"/>
        <w:rPr/>
      </w:pPr>
      <w:r>
        <w:rPr/>
        <w:t xml:space="preserve">3) срок предоставления государственной услуги; </w:t>
      </w:r>
    </w:p>
    <w:p>
      <w:pPr>
        <w:pStyle w:val="Default"/>
        <w:ind w:firstLine="709"/>
        <w:jc w:val="both"/>
        <w:rPr/>
      </w:pPr>
      <w:r>
        <w:rPr/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>
      <w:pPr>
        <w:pStyle w:val="Default"/>
        <w:ind w:firstLine="709"/>
        <w:jc w:val="both"/>
        <w:rPr>
          <w:color w:val="auto"/>
        </w:rPr>
      </w:pPr>
      <w:r>
        <w:rPr>
          <w:color w:val="000000" w:themeColor="text1"/>
        </w:rPr>
        <w:t xml:space="preserve">5) </w:t>
      </w:r>
      <w:r>
        <w:rPr>
          <w:color w:val="auto"/>
        </w:rPr>
        <w:t xml:space="preserve">исчерпывающий перечень оснований для приостановления или отказа в предоставлении государственной услуги; </w:t>
      </w:r>
    </w:p>
    <w:p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6) информация о порядке досудебного (внесудебного) обжалования решений, действий (бездействия) и решений и действий (бездействия) органа, представляющего государственную услугу, должностного лица органа, предоставляющего государственную услугу, либо государственного служащего; </w:t>
      </w:r>
    </w:p>
    <w:p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7) формы заявлений (уведомлений, сообщений), используемые при предоставлении государственной услуги. </w:t>
      </w:r>
    </w:p>
    <w:p>
      <w:pPr>
        <w:pStyle w:val="Default"/>
        <w:ind w:firstLine="709"/>
        <w:jc w:val="both"/>
        <w:rPr>
          <w:color w:val="auto"/>
        </w:rPr>
      </w:pPr>
      <w:r>
        <w:rPr>
          <w:color w:val="auto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Normal"/>
        <w:ind w:firstLine="709"/>
        <w:jc w:val="both"/>
        <w:rPr/>
      </w:pPr>
      <w:r>
        <w:rPr/>
        <w:t>6. Консультации о предоставлении государственной услуги предоставляются по следующим вопросам: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3) время приема и выдачи документов;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4) сроки подачи документов, необходимых для предоставления государственной услуги;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5) срок предоставления государственной услуги;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6)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76" w:leader="none"/>
        </w:tabs>
        <w:ind w:firstLine="720"/>
        <w:jc w:val="both"/>
        <w:rPr/>
      </w:pPr>
      <w:r>
        <w:rPr/>
      </w:r>
    </w:p>
    <w:p>
      <w:pPr>
        <w:pStyle w:val="Normal"/>
        <w:jc w:val="center"/>
        <w:rPr>
          <w:bCs/>
        </w:rPr>
      </w:pPr>
      <w:r>
        <w:rPr/>
        <w:t xml:space="preserve">2. Стандарт предоставления государственной услуги 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firstLine="709"/>
        <w:jc w:val="both"/>
        <w:rPr/>
      </w:pPr>
      <w:r>
        <w:rPr>
          <w:bCs/>
        </w:rPr>
        <w:t xml:space="preserve">7. Наименование государственной услуги: </w:t>
      </w:r>
      <w:r>
        <w:rPr/>
        <w:t>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 (далее – включение в реестр).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709"/>
        <w:jc w:val="both"/>
        <w:rPr>
          <w:bCs/>
        </w:rPr>
      </w:pPr>
      <w:r>
        <w:rPr>
          <w:bCs/>
        </w:rPr>
        <w:t xml:space="preserve">8. Наименование органа, предоставляющего государственную услугу: </w:t>
      </w:r>
      <w:r>
        <w:rPr/>
        <w:t>Департамент по молодежной политике Томской области (далее – Департамент).</w:t>
      </w:r>
    </w:p>
    <w:p>
      <w:pPr>
        <w:pStyle w:val="Normal"/>
        <w:tabs>
          <w:tab w:val="clear" w:pos="708"/>
          <w:tab w:val="left" w:pos="993" w:leader="none"/>
          <w:tab w:val="left" w:pos="1353" w:leader="none"/>
        </w:tabs>
        <w:ind w:firstLine="709"/>
        <w:jc w:val="both"/>
        <w:rPr/>
      </w:pPr>
      <w:r>
        <w:rPr/>
        <w:t xml:space="preserve">9. Результат предоставления государственной услуги: </w:t>
      </w:r>
    </w:p>
    <w:p>
      <w:pPr>
        <w:pStyle w:val="Normal"/>
        <w:tabs>
          <w:tab w:val="clear" w:pos="708"/>
          <w:tab w:val="left" w:pos="993" w:leader="none"/>
          <w:tab w:val="left" w:pos="1353" w:leader="none"/>
        </w:tabs>
        <w:ind w:firstLine="709"/>
        <w:jc w:val="both"/>
        <w:rPr>
          <w:bCs/>
        </w:rPr>
      </w:pPr>
      <w:r>
        <w:rPr/>
        <w:t>издание распоряжения о в</w:t>
      </w:r>
      <w:r>
        <w:rPr>
          <w:bCs/>
        </w:rPr>
        <w:t>ключении в областной реестр молодежных и детских общественных объединений, пользующихся государственной поддержкой;</w:t>
      </w:r>
    </w:p>
    <w:p>
      <w:pPr>
        <w:pStyle w:val="Normal"/>
        <w:tabs>
          <w:tab w:val="clear" w:pos="708"/>
          <w:tab w:val="left" w:pos="993" w:leader="none"/>
          <w:tab w:val="left" w:pos="1353" w:leader="none"/>
        </w:tabs>
        <w:ind w:firstLine="709"/>
        <w:jc w:val="both"/>
        <w:rPr/>
      </w:pPr>
      <w:r>
        <w:rPr>
          <w:bCs/>
        </w:rPr>
        <w:t>направление заявителю у</w:t>
      </w:r>
      <w:r>
        <w:rPr/>
        <w:t>ведомления о принятом решении о включении или об отказе во включении в реестр</w:t>
      </w:r>
      <w:r>
        <w:rPr>
          <w:bCs/>
        </w:rPr>
        <w:t>.</w:t>
      </w:r>
    </w:p>
    <w:p>
      <w:pPr>
        <w:pStyle w:val="Normal"/>
        <w:tabs>
          <w:tab w:val="clear" w:pos="708"/>
          <w:tab w:val="left" w:pos="993" w:leader="none"/>
          <w:tab w:val="left" w:pos="1353" w:leader="none"/>
        </w:tabs>
        <w:ind w:firstLine="709"/>
        <w:jc w:val="both"/>
        <w:rPr>
          <w:color w:val="000000"/>
        </w:rPr>
      </w:pPr>
      <w:r>
        <w:rPr/>
        <w:t xml:space="preserve">10. </w:t>
      </w:r>
      <w:r>
        <w:rPr>
          <w:color w:val="000000"/>
        </w:rPr>
        <w:t xml:space="preserve">Государственная услуга предоставляется в течение месяца </w:t>
      </w:r>
      <w:r>
        <w:rPr/>
        <w:t xml:space="preserve">после представления заявителем в Департамент лично или через оператора почтовой связи письменного заявления о включении молодежного и детского объединения в реестр (далее - заявление), подписанного руководителем (или лицом, его замещающим) постоянно действующего руководящего органа.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11. Предоставление государственной услуги осуществляется в соответствии со следующими нормативными правовыми актами:</w:t>
      </w:r>
    </w:p>
    <w:p>
      <w:pPr>
        <w:pStyle w:val="Normal"/>
        <w:tabs>
          <w:tab w:val="clear" w:pos="708"/>
          <w:tab w:val="left" w:pos="1276" w:leader="none"/>
        </w:tabs>
        <w:ind w:firstLine="709"/>
        <w:jc w:val="both"/>
        <w:rPr/>
      </w:pPr>
      <w:r>
        <w:rPr/>
        <w:t xml:space="preserve">1) Федеральный закон от 27.07.2010 № 210-ФЗ «Об организации предоставления государственных и муниципальных услуг»; </w:t>
      </w:r>
    </w:p>
    <w:p>
      <w:pPr>
        <w:pStyle w:val="Normal"/>
        <w:tabs>
          <w:tab w:val="clear" w:pos="708"/>
          <w:tab w:val="left" w:pos="1276" w:leader="none"/>
        </w:tabs>
        <w:ind w:firstLine="709"/>
        <w:jc w:val="both"/>
        <w:rPr/>
      </w:pPr>
      <w:r>
        <w:rPr/>
        <w:t>2) Федеральный закон от 28.06.1995 № 98-ФЗ «О государственной поддержке молодежных и детских общественных объединений»;</w:t>
      </w:r>
    </w:p>
    <w:p>
      <w:pPr>
        <w:pStyle w:val="Normal"/>
        <w:tabs>
          <w:tab w:val="clear" w:pos="708"/>
          <w:tab w:val="left" w:pos="1276" w:leader="none"/>
        </w:tabs>
        <w:ind w:firstLine="709"/>
        <w:jc w:val="both"/>
        <w:rPr/>
      </w:pPr>
      <w:r>
        <w:rPr/>
        <w:t>3) Закон Томской области от 10.04.2006 № 53-ОЗ «О государственной поддержке межрегиональных, региональных и местных молодежных и детских общественных объединений на территории Томской области» (далее – Закон Томской области).</w:t>
      </w:r>
    </w:p>
    <w:p>
      <w:pPr>
        <w:pStyle w:val="Normal"/>
        <w:tabs>
          <w:tab w:val="clear" w:pos="708"/>
          <w:tab w:val="left" w:pos="1276" w:leader="none"/>
        </w:tabs>
        <w:ind w:firstLine="709"/>
        <w:jc w:val="both"/>
        <w:rPr/>
      </w:pPr>
      <w:r>
        <w:rPr/>
        <w:t xml:space="preserve">12. </w:t>
      </w:r>
      <w:r>
        <w:rPr>
          <w:bCs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так как они подлежат представлению в рамках межведомственного информационного взаимодействия</w:t>
      </w:r>
      <w:r>
        <w:rPr/>
        <w:t>:</w:t>
      </w:r>
    </w:p>
    <w:p>
      <w:pPr>
        <w:pStyle w:val="ConsPlusNormal"/>
        <w:tabs>
          <w:tab w:val="clear" w:pos="708"/>
          <w:tab w:val="left" w:pos="0" w:leader="none"/>
          <w:tab w:val="left" w:pos="54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заявление по форме согласно Приложению № 1 к настоящему Регламенту, подписанное руководителем (или лицом, его замещающим) постоянно действующего руководящего органа, на бумажном носителе в одном экземпляре; </w:t>
      </w:r>
    </w:p>
    <w:p>
      <w:pPr>
        <w:pStyle w:val="NormalWeb"/>
        <w:tabs>
          <w:tab w:val="clear" w:pos="708"/>
          <w:tab w:val="left" w:pos="0" w:leader="none"/>
          <w:tab w:val="left" w:pos="1134" w:leader="none"/>
        </w:tabs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2) копия устава молодежного и детского общественного объединения, заверенная руководителем (или лицом, его замещающим) постоянно действующего руководящего органа молодежного и детского объединения в одном экземпляре.</w:t>
      </w:r>
    </w:p>
    <w:p>
      <w:pPr>
        <w:pStyle w:val="NormalWeb"/>
        <w:tabs>
          <w:tab w:val="clear" w:pos="708"/>
          <w:tab w:val="left" w:pos="0" w:leader="none"/>
          <w:tab w:val="left" w:pos="1134" w:leader="none"/>
        </w:tabs>
        <w:spacing w:beforeAutospacing="0" w:before="0" w:afterAutospacing="0" w:after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13. </w:t>
      </w:r>
      <w:r>
        <w:rPr>
          <w:rFonts w:ascii="Times New Roman" w:hAnsi="Times New Roman"/>
          <w:color w:val="000000"/>
          <w:sz w:val="24"/>
          <w:szCs w:val="24"/>
        </w:rPr>
        <w:t xml:space="preserve">Для предоставления государственной услуги заявитель вправе 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по собственной инициативе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представить в 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Департамент оригинал или нотариально заверенную копию выписки из Единого государственного реестра юридических лиц (далее – ЕГРЮЛ) на бумажном носителе. </w:t>
      </w:r>
    </w:p>
    <w:p>
      <w:pPr>
        <w:pStyle w:val="ConsPlusNormal"/>
        <w:tabs>
          <w:tab w:val="clear" w:pos="708"/>
          <w:tab w:val="left" w:pos="0" w:leader="none"/>
          <w:tab w:val="left" w:pos="1134" w:leader="none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случае если молодежное и детское объединение не представило выписку из ЕГРЮЛ, Департамент в течение трех рабочих дней со дня представления заявления самостоятельно запрашивает такую выписку посредством межведомственного запроса в форме электронного документа с использованием региональной системы межведомственного электронного взаимодействия в соответствии с Федеральным </w:t>
      </w:r>
      <w:hyperlink r:id="rId4">
        <w:r>
          <w:rPr>
            <w:rFonts w:cs="Times New Roman" w:ascii="Times New Roman" w:hAnsi="Times New Roman"/>
            <w:sz w:val="24"/>
            <w:szCs w:val="24"/>
          </w:rPr>
          <w:t>законом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от 27.07.2010 № 210-ФЗ «Об организации предоставления государственных и муниципальных услуг». В случае отсутствия доступа к такой системе межведомственный запрос направляется на бумажном носителе с соблюдением требований законодательства Российской Федерации в области персональных данных.</w:t>
      </w:r>
    </w:p>
    <w:p>
      <w:pPr>
        <w:pStyle w:val="Normal"/>
        <w:tabs>
          <w:tab w:val="clear" w:pos="708"/>
          <w:tab w:val="left" w:pos="993" w:leader="none"/>
          <w:tab w:val="left" w:pos="1353" w:leader="none"/>
        </w:tabs>
        <w:ind w:firstLine="709"/>
        <w:jc w:val="both"/>
        <w:rPr/>
      </w:pPr>
      <w:r>
        <w:rPr>
          <w:bCs/>
        </w:rPr>
        <w:t>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</w:t>
      </w:r>
      <w:r>
        <w:rPr/>
        <w:t xml:space="preserve"> отсутствуют.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>
          <w:bCs/>
          <w:color w:val="000000"/>
        </w:rPr>
      </w:pPr>
      <w:r>
        <w:rPr/>
        <w:t>14. Исчерпывающий перечень оснований для отказа в приеме документов, необходимых для предоставления государственной услуги:</w:t>
      </w:r>
    </w:p>
    <w:p>
      <w:pPr>
        <w:pStyle w:val="ConsPlusNormal"/>
        <w:widowControl/>
        <w:tabs>
          <w:tab w:val="clear" w:pos="708"/>
          <w:tab w:val="left" w:pos="0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в представленных документах присутствуют исправления, зачеркнутые слова; </w:t>
      </w:r>
    </w:p>
    <w:p>
      <w:pPr>
        <w:pStyle w:val="ConsPlusNormal"/>
        <w:widowControl/>
        <w:tabs>
          <w:tab w:val="clear" w:pos="708"/>
          <w:tab w:val="left" w:pos="0" w:leader="none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документы не заверены подписью и (или) печатью заявителя.</w:t>
      </w:r>
    </w:p>
    <w:p>
      <w:pPr>
        <w:pStyle w:val="Normal"/>
        <w:widowControl w:val="false"/>
        <w:tabs>
          <w:tab w:val="clear" w:pos="708"/>
          <w:tab w:val="left" w:pos="1120" w:leader="none"/>
        </w:tabs>
        <w:ind w:left="56" w:firstLine="672"/>
        <w:jc w:val="both"/>
        <w:rPr/>
      </w:pPr>
      <w:r>
        <w:rPr/>
        <w:t>3) не предоставления заявителем документов, указанных в пункте 12 настоящего Регламента;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4) не соответствия представленных документов записи в ЕГРЮЛ.</w:t>
      </w:r>
    </w:p>
    <w:p>
      <w:pPr>
        <w:pStyle w:val="ConsPlusNormal"/>
        <w:tabs>
          <w:tab w:val="clear" w:pos="708"/>
          <w:tab w:val="left" w:pos="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</w:t>
      </w:r>
      <w:r>
        <w:rPr>
          <w:rFonts w:cs="Times New Roman" w:ascii="Times New Roman" w:hAnsi="Times New Roman"/>
          <w:color w:val="000000" w:themeColor="text1"/>
          <w:sz w:val="24"/>
          <w:szCs w:val="24"/>
        </w:rPr>
        <w:t>Исчерпывающий перечень оснований для отказа в предоставлении государственной услуги: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1) заявитель не подпадает под сферу действия Закона Томской области;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/>
        <w:t>2) заявитель не соответствует требованиям части 1 и абзаца второго части 2 статьи 3 Закона Томской области;</w:t>
      </w:r>
    </w:p>
    <w:p>
      <w:pPr>
        <w:pStyle w:val="ConsPlusNormal"/>
        <w:tabs>
          <w:tab w:val="clear" w:pos="708"/>
          <w:tab w:val="left" w:pos="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>обращение заявителя, исключенного из реестра по основаниям, указанным в пунктах 2, 3 части 10 статьи 4 Закона Томской области, до истечения одного года с даты его исключения из реестра.</w:t>
      </w:r>
    </w:p>
    <w:p>
      <w:pPr>
        <w:pStyle w:val="Normal"/>
        <w:tabs>
          <w:tab w:val="clear" w:pos="708"/>
          <w:tab w:val="left" w:pos="540" w:leader="none"/>
        </w:tabs>
        <w:ind w:firstLine="709"/>
        <w:jc w:val="both"/>
        <w:rPr/>
      </w:pPr>
      <w:r>
        <w:rPr/>
        <w:t xml:space="preserve">16. Предоставление государственной услуги осуществляется бесплатно. 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17. Максимальный срок ожидания в очереди при подаче запроса о предоставлении государственной услуги: не более 15 минут.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18. Максимальный срок ожидания в очереди при получении результата предоставления государственной услуги: не более 15 минут.</w:t>
      </w:r>
    </w:p>
    <w:p>
      <w:pPr>
        <w:pStyle w:val="Normal"/>
        <w:tabs>
          <w:tab w:val="clear" w:pos="708"/>
          <w:tab w:val="left" w:pos="540" w:leader="none"/>
        </w:tabs>
        <w:ind w:firstLine="709"/>
        <w:jc w:val="both"/>
        <w:rPr/>
      </w:pPr>
      <w:r>
        <w:rPr/>
        <w:t>19. Срок регистрации запроса о предоставлении государственной услуги: в течение одного рабочего дня, следующего за днем поступления запроса.</w:t>
      </w:r>
    </w:p>
    <w:p>
      <w:pPr>
        <w:pStyle w:val="Normal"/>
        <w:tabs>
          <w:tab w:val="clear" w:pos="708"/>
          <w:tab w:val="left" w:pos="540" w:leader="none"/>
        </w:tabs>
        <w:ind w:firstLine="709"/>
        <w:jc w:val="both"/>
        <w:rPr/>
      </w:pPr>
      <w:r>
        <w:rPr/>
        <w:t>20.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>
      <w:pPr>
        <w:pStyle w:val="Normal"/>
        <w:tabs>
          <w:tab w:val="clear" w:pos="708"/>
          <w:tab w:val="left" w:pos="540" w:leader="none"/>
        </w:tabs>
        <w:ind w:firstLine="709"/>
        <w:jc w:val="both"/>
        <w:rPr/>
      </w:pPr>
      <w:r>
        <w:rPr/>
        <w:t xml:space="preserve">1) здание Департамента оборудовано отдельным входом для свободного доступа в помещение; </w:t>
      </w:r>
    </w:p>
    <w:p>
      <w:pPr>
        <w:pStyle w:val="Normal"/>
        <w:tabs>
          <w:tab w:val="clear" w:pos="708"/>
          <w:tab w:val="left" w:pos="540" w:leader="none"/>
        </w:tabs>
        <w:ind w:firstLine="720"/>
        <w:jc w:val="both"/>
        <w:rPr/>
      </w:pPr>
      <w:r>
        <w:rPr/>
        <w:t>2) вход в здание оборудован информационной табличкой (вывеской) с указанием наименования Департамента;</w:t>
      </w:r>
    </w:p>
    <w:p>
      <w:pPr>
        <w:pStyle w:val="ConsPlusNormal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>
        <w:rPr>
          <w:rFonts w:ascii="Times New Roman" w:hAnsi="Times New Roman"/>
          <w:color w:val="000000"/>
          <w:sz w:val="24"/>
          <w:szCs w:val="24"/>
        </w:rPr>
        <w:t>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</w:tabs>
        <w:ind w:firstLine="720"/>
        <w:jc w:val="both"/>
        <w:rPr/>
      </w:pPr>
      <w:r>
        <w:rPr/>
        <w:t>4)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  <w:tab w:val="left" w:pos="1440" w:leader="none"/>
        </w:tabs>
        <w:ind w:firstLine="720"/>
        <w:jc w:val="both"/>
        <w:rPr/>
      </w:pPr>
      <w:r>
        <w:rPr/>
        <w:t xml:space="preserve">5) помещения Департамента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2.2.2/2.4.1340-03»; </w:t>
      </w:r>
    </w:p>
    <w:p>
      <w:pPr>
        <w:pStyle w:val="Normal"/>
        <w:widowControl w:val="false"/>
        <w:tabs>
          <w:tab w:val="clear" w:pos="708"/>
          <w:tab w:val="left" w:pos="540" w:leader="none"/>
          <w:tab w:val="left" w:pos="1353" w:leader="none"/>
        </w:tabs>
        <w:ind w:firstLine="720"/>
        <w:jc w:val="both"/>
        <w:rPr/>
      </w:pPr>
      <w:r>
        <w:rPr/>
        <w:t xml:space="preserve">6) присутственные места оборудованы: 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</w:tabs>
        <w:ind w:firstLine="720"/>
        <w:jc w:val="both"/>
        <w:rPr/>
      </w:pPr>
      <w:r>
        <w:rPr/>
        <w:t xml:space="preserve">системой кондиционирования воздуха; 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</w:tabs>
        <w:ind w:firstLine="720"/>
        <w:jc w:val="both"/>
        <w:rPr/>
      </w:pPr>
      <w:r>
        <w:rPr/>
        <w:t xml:space="preserve">противопожарной системой и средствами пожаротушения; 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</w:tabs>
        <w:ind w:firstLine="720"/>
        <w:jc w:val="both"/>
        <w:rPr/>
      </w:pPr>
      <w:r>
        <w:rPr/>
        <w:t>системой охраны;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276" w:leader="none"/>
          <w:tab w:val="left" w:pos="1353" w:leader="none"/>
        </w:tabs>
        <w:ind w:firstLine="720"/>
        <w:jc w:val="both"/>
        <w:rPr>
          <w:color w:val="000000"/>
        </w:rPr>
      </w:pPr>
      <w:r>
        <w:rPr>
          <w:color w:val="000000"/>
        </w:rPr>
        <w:t>7)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>
      <w:pPr>
        <w:pStyle w:val="Normal"/>
        <w:widowControl w:val="false"/>
        <w:tabs>
          <w:tab w:val="clear" w:pos="708"/>
          <w:tab w:val="left" w:pos="567" w:leader="none"/>
          <w:tab w:val="left" w:pos="1353" w:leader="none"/>
        </w:tabs>
        <w:ind w:firstLine="720"/>
        <w:jc w:val="both"/>
        <w:rPr/>
      </w:pPr>
      <w:r>
        <w:rPr/>
        <w:t>8) прием заявителей</w:t>
      </w:r>
      <w:r>
        <w:rPr>
          <w:b/>
          <w:bCs/>
          <w:i/>
          <w:iCs/>
        </w:rPr>
        <w:t xml:space="preserve"> </w:t>
      </w:r>
      <w:r>
        <w:rPr/>
        <w:t>осуществляется в специально оборудованных помещениях (кабинетах), где располагается орган, предоставляющий государственную услугу, а также должностные лица, государственные служащие;</w:t>
      </w:r>
    </w:p>
    <w:p>
      <w:pPr>
        <w:pStyle w:val="Normal"/>
        <w:widowControl w:val="false"/>
        <w:tabs>
          <w:tab w:val="clear" w:pos="708"/>
          <w:tab w:val="left" w:pos="567" w:leader="none"/>
          <w:tab w:val="left" w:pos="1353" w:leader="none"/>
        </w:tabs>
        <w:ind w:firstLine="720"/>
        <w:jc w:val="both"/>
        <w:rPr/>
      </w:pPr>
      <w:r>
        <w:rPr/>
        <w:t xml:space="preserve">9) 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</w:tabs>
        <w:ind w:firstLine="720"/>
        <w:jc w:val="both"/>
        <w:rPr/>
      </w:pPr>
      <w:r>
        <w:rPr/>
        <w:t xml:space="preserve">10) места информирования, предназначенные для ознакомления </w:t>
      </w:r>
      <w:r>
        <w:rPr>
          <w:bCs/>
          <w:iCs/>
        </w:rPr>
        <w:t>заявителей</w:t>
      </w:r>
      <w:r>
        <w:rPr>
          <w:b/>
          <w:bCs/>
          <w:i/>
          <w:iCs/>
        </w:rPr>
        <w:t xml:space="preserve"> </w:t>
      </w:r>
      <w:r>
        <w:rPr/>
        <w:t>с информационными материалами, оборудованы информационными стендами;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1260" w:leader="none"/>
        </w:tabs>
        <w:ind w:firstLine="720"/>
        <w:jc w:val="both"/>
        <w:rPr/>
      </w:pPr>
      <w:r>
        <w:rPr/>
        <w:t>11) на информационных стендах в Департаменте размещается текст Регламента с приложениями.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>12) обеспечение возможности беспрепятственного доступа инвалидов осуществляется в соответствии с законодательством Российской Федерации о социальной защите инвалидов.</w:t>
      </w:r>
    </w:p>
    <w:p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связи с отсутствием технической 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  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>21. Показателями доступности предоставления государственной услуги являются: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>1) наглядность форм размещаемой информации о порядке предоставления государственной услуги.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>22. Получение государственной услуги возможно в следующих формах: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 xml:space="preserve">1) при личном обращении в Департамент к специалисту, ответственному за предоставление государственной услуги, с документами, предусмотренными пунктом 12 настоящего Регламента; </w:t>
      </w:r>
    </w:p>
    <w:p>
      <w:pPr>
        <w:pStyle w:val="Normal"/>
        <w:ind w:firstLine="709"/>
        <w:jc w:val="both"/>
        <w:rPr/>
      </w:pPr>
      <w:r>
        <w:rPr/>
        <w:t xml:space="preserve">2) государственная услуги в электронной форме не оказывается, однако, заявитель с помощью Портала имеет возможность: </w:t>
      </w:r>
    </w:p>
    <w:p>
      <w:pPr>
        <w:pStyle w:val="Normal"/>
        <w:ind w:firstLine="709"/>
        <w:jc w:val="both"/>
        <w:rPr/>
      </w:pPr>
      <w:r>
        <w:rPr/>
        <w:t>а) получить информацию о порядке предоставления государственной услуги;</w:t>
      </w:r>
    </w:p>
    <w:p>
      <w:pPr>
        <w:pStyle w:val="Normal"/>
        <w:ind w:firstLine="709"/>
        <w:jc w:val="both"/>
        <w:rPr/>
      </w:pPr>
      <w:r>
        <w:rPr/>
        <w:t>б) ознакомиться с формой документов, необходимых для получения государственной услуги, получить доступ к ним для копирования и заполнения в электронном виде.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 xml:space="preserve">23. Показатели качества государственной услуги: 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both"/>
        <w:rPr/>
      </w:pPr>
      <w:r>
        <w:rPr/>
        <w:t xml:space="preserve">1) достоверность, полнота и актуальность информации о порядке предоставления государственной услуги; 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353" w:leader="none"/>
        </w:tabs>
        <w:ind w:firstLine="709"/>
        <w:jc w:val="both"/>
        <w:rPr/>
      </w:pPr>
      <w:r>
        <w:rPr/>
        <w:t>24. Иные требования,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форме:</w:t>
      </w:r>
    </w:p>
    <w:p>
      <w:pPr>
        <w:pStyle w:val="Normal"/>
        <w:ind w:firstLine="709"/>
        <w:jc w:val="both"/>
        <w:rPr/>
      </w:pPr>
      <w:r>
        <w:rPr/>
        <w:t>Государственная услуга в электронной форме не оказывается. Государственная услуга в МФЦ не предоставляется.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20"/>
        <w:jc w:val="center"/>
        <w:rPr>
          <w:bCs/>
        </w:rPr>
      </w:pPr>
      <w:r>
        <w:rPr>
          <w:bCs/>
        </w:rPr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20"/>
        <w:jc w:val="center"/>
        <w:rPr>
          <w:bCs/>
        </w:rPr>
      </w:pPr>
      <w:r>
        <w:rPr>
          <w:bCs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20"/>
        <w:jc w:val="center"/>
        <w:rPr>
          <w:bCs/>
        </w:rPr>
      </w:pPr>
      <w:r>
        <w:rPr>
          <w:bCs/>
        </w:rPr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>
          <w:b/>
          <w:bCs/>
        </w:rPr>
      </w:pPr>
      <w:r>
        <w:rPr>
          <w:bCs/>
        </w:rPr>
        <w:t xml:space="preserve">25. Предоставление государственной услуги </w:t>
      </w:r>
      <w:r>
        <w:rPr/>
        <w:t>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 xml:space="preserve">» </w:t>
      </w:r>
      <w:r>
        <w:rPr>
          <w:bCs/>
        </w:rPr>
        <w:t>включает в себя несколько административных процедур: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>
          <w:b/>
          <w:bCs/>
        </w:rPr>
      </w:pPr>
      <w:r>
        <w:rPr>
          <w:bCs/>
        </w:rPr>
        <w:t>1) прием и регистрация запроса о представлении государственной услуги</w:t>
      </w:r>
      <w:r>
        <w:rPr/>
        <w:t>;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>
          <w:b/>
          <w:bCs/>
        </w:rPr>
      </w:pPr>
      <w:r>
        <w:rPr/>
        <w:t xml:space="preserve">2) проверка заявления и документов, необходимых </w:t>
      </w:r>
      <w:r>
        <w:rPr>
          <w:bCs/>
        </w:rPr>
        <w:t>для предоставления государственной услуги</w:t>
      </w:r>
      <w:r>
        <w:rPr/>
        <w:t xml:space="preserve">; </w:t>
      </w:r>
    </w:p>
    <w:p>
      <w:pPr>
        <w:pStyle w:val="Normal"/>
        <w:keepNext w:val="true"/>
        <w:widowControl w:val="false"/>
        <w:tabs>
          <w:tab w:val="clear" w:pos="708"/>
          <w:tab w:val="left" w:pos="1134" w:leader="none"/>
        </w:tabs>
        <w:ind w:firstLine="709"/>
        <w:jc w:val="both"/>
        <w:rPr/>
      </w:pPr>
      <w:r>
        <w:rPr>
          <w:bCs/>
        </w:rPr>
        <w:t>3)</w:t>
      </w:r>
      <w:r>
        <w:rPr/>
        <w:t xml:space="preserve"> принятие решения о включении в реестр или об отказе во включении в реестр;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440" w:leader="none"/>
        </w:tabs>
        <w:ind w:firstLine="709"/>
        <w:jc w:val="both"/>
        <w:rPr>
          <w:bCs/>
        </w:rPr>
      </w:pPr>
      <w:r>
        <w:rPr/>
        <w:t>4) уведомление заявителя о включении в реестр или об отказе во включении в реестр.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/>
      </w:pPr>
      <w:r>
        <w:rPr>
          <w:bCs/>
        </w:rPr>
        <w:t xml:space="preserve">26. </w:t>
      </w:r>
      <w:r>
        <w:rPr/>
        <w:t>Описание последовательности действий при предоставлении государственной услуги к настоящему Регламенту представлено в Приложении № 2 к настоящему Регламенту.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>
          <w:bCs/>
        </w:rPr>
      </w:pPr>
      <w:r>
        <w:rPr/>
        <w:t xml:space="preserve">27. </w:t>
      </w:r>
      <w:r>
        <w:rPr>
          <w:bCs/>
        </w:rPr>
        <w:t>Прием и проверка заявления и документов, предусмотренных пунктом 12 настоящего Регламента: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20"/>
        <w:jc w:val="both"/>
        <w:rPr/>
      </w:pPr>
      <w:r>
        <w:rPr>
          <w:color w:val="000000"/>
        </w:rPr>
        <w:t xml:space="preserve">1) </w:t>
      </w:r>
      <w:r>
        <w:rPr/>
        <w:t>запись на прием в Департамент для подачи запроса с использованием Портала, сайта Департамента не осуществляется;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2) о</w:t>
      </w:r>
      <w:r>
        <w:rPr>
          <w:bCs/>
        </w:rPr>
        <w:t xml:space="preserve">снованием для начала данной административной процедуры </w:t>
      </w:r>
      <w:r>
        <w:rPr/>
        <w:t>является предоставление заявления и документов согласно пункту 12 настоящего Регламента в Департамент по адресу: 634050, г. Томск, Московский тракт, д. 12.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>3) специалист, ответственный за предоставление государственной услуги, устанавливает предмет обращения, осуществляет п</w:t>
      </w:r>
      <w:r>
        <w:rPr>
          <w:color w:val="000000"/>
        </w:rPr>
        <w:t>роверку</w:t>
      </w:r>
      <w:r>
        <w:rPr>
          <w:color w:val="FF0000"/>
        </w:rPr>
        <w:t xml:space="preserve"> </w:t>
      </w:r>
      <w:r>
        <w:rPr/>
        <w:t>заявления на соответствие установленной форме, наличие документов, предусмотренные пунктом 12 настоящего Регламента</w:t>
      </w:r>
      <w:r>
        <w:rPr>
          <w:bCs/>
        </w:rPr>
        <w:t xml:space="preserve">;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440" w:leader="none"/>
        </w:tabs>
        <w:ind w:firstLine="720"/>
        <w:jc w:val="both"/>
        <w:rPr/>
      </w:pPr>
      <w:r>
        <w:rPr/>
        <w:t>Максимальный срок выполнения действия -  15 минут;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 xml:space="preserve">Формирование запроса о предоставлении государственной услуги, прием и регистрация запроса и документов, необходимых для предоставления государственной услуги, на Портале, сайте Департамента не осуществляется.  </w:t>
      </w:r>
    </w:p>
    <w:p>
      <w:pPr>
        <w:pStyle w:val="Normal"/>
        <w:tabs>
          <w:tab w:val="clear" w:pos="708"/>
          <w:tab w:val="left" w:pos="540" w:leader="none"/>
        </w:tabs>
        <w:ind w:firstLine="709"/>
        <w:jc w:val="both"/>
        <w:rPr/>
      </w:pPr>
      <w:r>
        <w:rPr/>
        <w:t>4) в случае предоставления документов на рассмотрение лично заявителем специалист, ответственный за предоставление государственной услуги, отказывает в приеме документов в случае не предоставления заявителем документов, указанных в пункте 12 настоящего Регламента, и (или) не соответствия представленных документов записи в ЕГРЮЛ;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 xml:space="preserve">5) в случае предоставления документов на рассмотрение через оператора почтовой связи и установления фактов не предоставления заявителем документов, указанных в пункте 12 настоящего Регламента, и не соответствия представленных документов записи в ЕГРЮЛ, специалист, ответственный за предоставление государственной услуги, в течение одного рабочего дня, следующего за днем поступления заявления, направляет заявителю уведомление об отказе в приеме документов с указанием причин </w:t>
      </w:r>
      <w:r>
        <w:rPr>
          <w:rFonts w:cs="Times New Roman CYR"/>
        </w:rPr>
        <w:t>в письменной форме по почтовому адресу, указанному в заявлении заявителя.</w:t>
      </w:r>
      <w:r>
        <w:rPr/>
        <w:t xml:space="preserve"> Информация дублируется по телефону или адресу электронной почты, указанному в заявлении; </w:t>
      </w:r>
    </w:p>
    <w:p>
      <w:pPr>
        <w:pStyle w:val="Normal"/>
        <w:tabs>
          <w:tab w:val="clear" w:pos="708"/>
          <w:tab w:val="left" w:pos="540" w:leader="none"/>
        </w:tabs>
        <w:ind w:firstLine="709"/>
        <w:jc w:val="both"/>
        <w:rPr/>
      </w:pPr>
      <w:r>
        <w:rPr/>
        <w:t>6) в случае отсутствия оснований  для отказа в приеме документов, необходимых для предоставления государственной услуги, в соответствии с пунктом 14 Регламента, специалист, ответственный за предоставление государственной услуги, регистрирует его в Журнале регистрации запросов на включение в областной реестр молодежных и детских общественных объединений, пользующихся государственной поддержкой, (далее – Журнал) ведение которого осуществляется по форме согласно Приложению № 3 к настоящему Регламенту.</w:t>
      </w:r>
    </w:p>
    <w:p>
      <w:pPr>
        <w:pStyle w:val="Normal"/>
        <w:widowControl w:val="false"/>
        <w:ind w:firstLine="709"/>
        <w:jc w:val="both"/>
        <w:rPr/>
      </w:pPr>
      <w:r>
        <w:rPr/>
        <w:t>Максимальный срок выполнения административной процедуры -  один рабочий дня с момента поступления заявления;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</w:tabs>
        <w:ind w:firstLine="709"/>
        <w:jc w:val="both"/>
        <w:rPr>
          <w:bCs/>
        </w:rPr>
      </w:pPr>
      <w:r>
        <w:rPr/>
        <w:t xml:space="preserve">28. Проверка заявления и документов </w:t>
      </w:r>
      <w:r>
        <w:rPr>
          <w:bCs/>
        </w:rPr>
        <w:t>для предоставления государственной услуги: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260" w:leader="none"/>
        </w:tabs>
        <w:ind w:firstLine="709"/>
        <w:jc w:val="both"/>
        <w:rPr/>
      </w:pPr>
      <w:r>
        <w:rPr>
          <w:bCs/>
        </w:rPr>
        <w:t>1)</w:t>
      </w:r>
      <w:r>
        <w:rPr/>
        <w:t xml:space="preserve"> о</w:t>
      </w:r>
      <w:r>
        <w:rPr>
          <w:bCs/>
        </w:rPr>
        <w:t xml:space="preserve">снованием для начала данной административной процедуры </w:t>
      </w:r>
      <w:r>
        <w:rPr/>
        <w:t>является  регистрация запроса в Журнале;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/>
      </w:pPr>
      <w:r>
        <w:rPr>
          <w:bCs/>
        </w:rPr>
        <w:t>2)</w:t>
      </w:r>
      <w:r>
        <w:rPr/>
        <w:t xml:space="preserve"> специалист, ответственный за предоставление </w:t>
      </w:r>
      <w:r>
        <w:rPr>
          <w:bCs/>
        </w:rPr>
        <w:t>государственной</w:t>
      </w:r>
      <w:r>
        <w:rPr/>
        <w:t xml:space="preserve"> услуги, в течение одного рабочего дня со дня регистрации запроса в Журнале проверяет заявление и документы на</w:t>
      </w:r>
      <w:r>
        <w:rPr>
          <w:bCs/>
        </w:rPr>
        <w:t xml:space="preserve"> соответствие </w:t>
      </w:r>
      <w:r>
        <w:rPr/>
        <w:t>требованиям Закона Томской области;</w:t>
      </w:r>
    </w:p>
    <w:p>
      <w:pPr>
        <w:pStyle w:val="Normal"/>
        <w:tabs>
          <w:tab w:val="clear" w:pos="708"/>
          <w:tab w:val="left" w:pos="709" w:leader="none"/>
          <w:tab w:val="left" w:pos="1260" w:leader="none"/>
        </w:tabs>
        <w:jc w:val="both"/>
        <w:rPr/>
      </w:pPr>
      <w:r>
        <w:rPr/>
        <w:tab/>
        <w:t xml:space="preserve">3) в случае, если заявителем по собственной инициативе не представлена выписка из ЕГРЮЛ, специалист, ответственный за предоставление услуги, в течение трех рабочих дней со дня предоставления заявления запрашивает в отношении заявителя такую выписку посредством межведомственного информационного взаимодействия запроса в Федеральную налоговую службу; 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 xml:space="preserve">4) по итогам проверки заявления и документов специалист, ответственный за предоставление </w:t>
      </w:r>
      <w:r>
        <w:rPr>
          <w:bCs/>
        </w:rPr>
        <w:t>государственной</w:t>
      </w:r>
      <w:r>
        <w:rPr/>
        <w:t xml:space="preserve"> услуги, в течение одного рабочего дня со дня окончания проверки запроса или получения выписки из ЕГРЮЛ в случае направления межведомственного запроса в Федеральную налоговую службу готовит проект распоряжения Департамента о включении в реестр и передает его на подпись начальнику Департамента;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>5) м</w:t>
      </w:r>
      <w:r>
        <w:rPr>
          <w:color w:val="000000"/>
        </w:rPr>
        <w:t>аксимальный срок исполнения процедуры – одиннадцать рабочих дней со дня регистрации запроса в Журнале.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>29. Принятие решения о включении в реестр или об отказе во включении в реестр: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>1) основанием для начала данной административной процедуры является представление на подпись начальнику Департамента проекта распоряжения Департамента о включении в реестр;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>2)</w:t>
      </w:r>
      <w:r>
        <w:rPr>
          <w:rFonts w:cs="Times New Roman CYR"/>
        </w:rPr>
        <w:t xml:space="preserve"> </w:t>
      </w:r>
      <w:r>
        <w:rPr/>
        <w:t xml:space="preserve">начальник Департамента в течение одного рабочего дня со дня получения проекта распоряжения Департамента о включении в реестр принимает решение о его подписании или не подписании. В случае принятия решения о подписании представленного проекта начальник Департамента подписывает его и передает для регистрации специалисту, ответственному за регистрацию распоряжений Департамента. В случае принятия решения о не подписании представленного проекта распоряжения начальник Департамента с обоснованием принятия данного решения передает его специалисту, ответственному за предоставление </w:t>
      </w:r>
      <w:r>
        <w:rPr>
          <w:bCs/>
        </w:rPr>
        <w:t>государственной</w:t>
      </w:r>
      <w:r>
        <w:rPr/>
        <w:t xml:space="preserve"> услуги, для внесения изменений и исправлений;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 xml:space="preserve">3) специалист, ответственный за предоставление </w:t>
      </w:r>
      <w:r>
        <w:rPr>
          <w:bCs/>
        </w:rPr>
        <w:t>государственной</w:t>
      </w:r>
      <w:r>
        <w:rPr/>
        <w:t xml:space="preserve"> услуги, в течение одного рабочего дня со дня получения проекта распоряжения, не согласованного начальником Департамента, дорабатывает его и повторно передает на подпись начальнику Департамента;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>4)</w:t>
      </w:r>
      <w:r>
        <w:rPr>
          <w:rFonts w:cs="Times New Roman CYR"/>
        </w:rPr>
        <w:t xml:space="preserve"> </w:t>
      </w:r>
      <w:r>
        <w:rPr/>
        <w:t>начальник Департамента в течение одного рабочего дня со дня повторного получения проекта распоряжения подписывает его и передает для регистрации специалисту, ответственному за регистрацию распоряжений;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/>
        <w:t xml:space="preserve">5) специалист, ответственный за регистрацию распоряжений, в течение одного рабочего дня со дня получения подписанного распоряжения регистрирует его и передает специалисту, ответственному за предоставление </w:t>
      </w:r>
      <w:r>
        <w:rPr>
          <w:bCs/>
        </w:rPr>
        <w:t>государственной</w:t>
      </w:r>
      <w:r>
        <w:rPr/>
        <w:t xml:space="preserve"> услуги;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/>
        <w:t xml:space="preserve">6) специалист, ответственный за предоставление </w:t>
      </w:r>
      <w:r>
        <w:rPr>
          <w:bCs/>
        </w:rPr>
        <w:t>государственной</w:t>
      </w:r>
      <w:r>
        <w:rPr/>
        <w:t xml:space="preserve"> услуги, в течение одного рабочего дня со дня получения зарегистрированного распоряжения Департамента о включении в реестр размещает его на официальном сайте Департамента;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>
          <w:bCs/>
          <w:color w:val="000000"/>
        </w:rPr>
        <w:t>7) м</w:t>
      </w:r>
      <w:r>
        <w:rPr>
          <w:color w:val="000000"/>
        </w:rPr>
        <w:t>аксимальный срок исполнения процедуры – пять рабочих дней</w:t>
      </w:r>
      <w:r>
        <w:rPr/>
        <w:t xml:space="preserve"> со дня представления проекта распоряжения Департамента о включении в реестр на подпись начальнику Департамента</w:t>
      </w:r>
      <w:r>
        <w:rPr>
          <w:color w:val="000000"/>
        </w:rPr>
        <w:t>.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/>
        <w:t>30. Уведомление заявителя о включении в реестр или об отказе во включении в реестр: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>
          <w:rFonts w:cs="Times New Roman CYR"/>
        </w:rPr>
        <w:t>1) о</w:t>
      </w:r>
      <w:r>
        <w:rPr/>
        <w:t xml:space="preserve">снованием для начала данной административной процедуры является получение специалистом, ответственным за предоставление </w:t>
      </w:r>
      <w:r>
        <w:rPr>
          <w:bCs/>
        </w:rPr>
        <w:t>государственной</w:t>
      </w:r>
      <w:r>
        <w:rPr/>
        <w:t xml:space="preserve"> услуги, зарегистрированного распоряжения Департамента о включении в реестр;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/>
      </w:pPr>
      <w:r>
        <w:rPr/>
        <w:t xml:space="preserve">2) специалист, ответственный за предоставление </w:t>
      </w:r>
      <w:r>
        <w:rPr>
          <w:bCs/>
        </w:rPr>
        <w:t>государственной</w:t>
      </w:r>
      <w:r>
        <w:rPr/>
        <w:t xml:space="preserve"> услуги, в течение одного рабочего дня со дня получения зарегистрированного распоряжения готовит проект уведомления заявителя о включении в реестр или об отказе во включении в реестр и передает его на подпись начальнику Департамента;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709" w:leader="none"/>
          <w:tab w:val="left" w:pos="1134" w:leader="none"/>
          <w:tab w:val="left" w:pos="1353" w:leader="none"/>
        </w:tabs>
        <w:ind w:firstLine="709"/>
        <w:jc w:val="both"/>
        <w:rPr/>
      </w:pPr>
      <w:r>
        <w:rPr/>
        <w:t>3) начальник Департамента в течение одного рабочего дня со дня получения проекта уведомления заявителя о включении в реестр или об отказе во включении в реестр подписывает его и передает для регистрации специалисту, ответственному за регистрацию исходящей корреспонденции;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/>
        <w:t xml:space="preserve">4) специалист, ответственный за регистрацию исходящей корреспонденции, в течение одного рабочего дня со дня получения подписанного уведомления заявителя о включении в реестр или об отказе во включении в реестр регистрирует его и передает специалисту, ответственному за предоставление </w:t>
      </w:r>
      <w:r>
        <w:rPr>
          <w:bCs/>
        </w:rPr>
        <w:t>государственной</w:t>
      </w:r>
      <w:r>
        <w:rPr/>
        <w:t xml:space="preserve"> услуги;</w:t>
      </w:r>
    </w:p>
    <w:p>
      <w:pPr>
        <w:pStyle w:val="Normal"/>
        <w:tabs>
          <w:tab w:val="clear" w:pos="708"/>
          <w:tab w:val="left" w:pos="1134" w:leader="none"/>
        </w:tabs>
        <w:ind w:firstLine="720"/>
        <w:jc w:val="both"/>
        <w:rPr/>
      </w:pPr>
      <w:r>
        <w:rPr/>
        <w:t xml:space="preserve">5) специалист, ответственный за предоставление </w:t>
      </w:r>
      <w:r>
        <w:rPr>
          <w:bCs/>
        </w:rPr>
        <w:t>государственной</w:t>
      </w:r>
      <w:r>
        <w:rPr/>
        <w:t xml:space="preserve"> услуги, в течение одного рабочего дня со дня получения зарегистрированного уведомления заявителя о включении в реестр или об отказе во включении в реестр </w:t>
      </w:r>
      <w:r>
        <w:rPr>
          <w:rFonts w:cs="Times New Roman CYR"/>
        </w:rPr>
        <w:t>направляет его по почтовому адресу, указанному в заявлении заявителя;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567" w:leader="none"/>
          <w:tab w:val="left" w:pos="1134" w:leader="none"/>
        </w:tabs>
        <w:ind w:firstLine="709"/>
        <w:jc w:val="both"/>
        <w:rPr>
          <w:bCs/>
        </w:rPr>
      </w:pPr>
      <w:r>
        <w:rPr>
          <w:bCs/>
        </w:rPr>
        <w:t xml:space="preserve">6) максимальный срок исполнения процедуры – четыре рабочих дней со дня </w:t>
      </w:r>
      <w:r>
        <w:rPr/>
        <w:t xml:space="preserve">получения специалистом, ответственным за предоставление </w:t>
      </w:r>
      <w:r>
        <w:rPr>
          <w:bCs/>
        </w:rPr>
        <w:t>государственной</w:t>
      </w:r>
      <w:r>
        <w:rPr/>
        <w:t xml:space="preserve"> услуги, зарегистрированного распоряжения Департамента о включении в реестр</w:t>
      </w:r>
      <w:r>
        <w:rPr>
          <w:bCs/>
        </w:rPr>
        <w:t>;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440" w:leader="none"/>
        </w:tabs>
        <w:ind w:firstLine="720"/>
        <w:jc w:val="both"/>
        <w:rPr/>
      </w:pPr>
      <w:r>
        <w:rPr>
          <w:bCs/>
        </w:rPr>
        <w:t xml:space="preserve">7) </w:t>
      </w:r>
      <w:r>
        <w:rPr/>
        <w:t xml:space="preserve">результат предоставления государственной услуги с использование Портала, сайта Департамента не предоставляется. </w:t>
      </w:r>
    </w:p>
    <w:p>
      <w:pPr>
        <w:pStyle w:val="Normal"/>
        <w:tabs>
          <w:tab w:val="clear" w:pos="708"/>
          <w:tab w:val="left" w:pos="0" w:leader="none"/>
          <w:tab w:val="left" w:pos="1134" w:leader="none"/>
          <w:tab w:val="left" w:pos="1440" w:leader="none"/>
        </w:tabs>
        <w:ind w:firstLine="720"/>
        <w:jc w:val="both"/>
        <w:rPr/>
      </w:pPr>
      <w:r>
        <w:rPr>
          <w:bCs/>
        </w:rPr>
        <w:t>31. Получение сведений о ходе выполнения запроса с использованием Портала, сайта Департамента не осуществляется.</w:t>
      </w:r>
    </w:p>
    <w:p>
      <w:pPr>
        <w:pStyle w:val="Normal"/>
        <w:tabs>
          <w:tab w:val="clear" w:pos="708"/>
          <w:tab w:val="left" w:pos="1134" w:leader="none"/>
          <w:tab w:val="left" w:pos="1260" w:leader="none"/>
        </w:tabs>
        <w:ind w:firstLine="709"/>
        <w:jc w:val="both"/>
        <w:rPr>
          <w:bCs/>
        </w:rPr>
      </w:pPr>
      <w:r>
        <w:rPr>
          <w:bCs/>
        </w:rPr>
        <w:t xml:space="preserve">32. Возможность оценить доступность и качество государственной услуги на Портале отсутствует. 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567" w:leader="none"/>
          <w:tab w:val="left" w:pos="1134" w:leader="none"/>
        </w:tabs>
        <w:ind w:firstLine="709"/>
        <w:jc w:val="both"/>
        <w:rPr>
          <w:bCs/>
        </w:rPr>
      </w:pPr>
      <w:r>
        <w:rPr>
          <w:bCs/>
        </w:rPr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jc w:val="center"/>
        <w:rPr/>
      </w:pPr>
      <w:r>
        <w:rPr/>
        <w:t xml:space="preserve">4. </w:t>
      </w:r>
      <w:r>
        <w:rPr>
          <w:bCs/>
        </w:rPr>
        <w:t>Формы контроля за исполнением Административного регламента</w:t>
      </w:r>
    </w:p>
    <w:p>
      <w:pPr>
        <w:pStyle w:val="Normal"/>
        <w:keepNext w:val="true"/>
        <w:widowControl w:val="false"/>
        <w:tabs>
          <w:tab w:val="clear" w:pos="708"/>
          <w:tab w:val="left" w:pos="1440" w:leader="none"/>
        </w:tabs>
        <w:ind w:firstLine="720"/>
        <w:rPr>
          <w:bCs/>
          <w:iCs/>
        </w:rPr>
      </w:pPr>
      <w:r>
        <w:rPr>
          <w:bCs/>
          <w:iCs/>
        </w:rPr>
      </w:r>
    </w:p>
    <w:p>
      <w:pPr>
        <w:pStyle w:val="Normal"/>
        <w:tabs>
          <w:tab w:val="clear" w:pos="708"/>
          <w:tab w:val="left" w:pos="1276" w:leader="none"/>
        </w:tabs>
        <w:ind w:firstLine="851"/>
        <w:jc w:val="both"/>
        <w:rPr/>
      </w:pPr>
      <w:r>
        <w:rPr/>
        <w:t>33. Контроль за исполнением административного регламента осуществляется в форме текущего и последующего контроля.</w:t>
      </w:r>
    </w:p>
    <w:p>
      <w:pPr>
        <w:pStyle w:val="Normal"/>
        <w:tabs>
          <w:tab w:val="clear" w:pos="708"/>
          <w:tab w:val="left" w:pos="1276" w:leader="none"/>
        </w:tabs>
        <w:ind w:firstLine="851"/>
        <w:jc w:val="both"/>
        <w:rPr/>
      </w:pPr>
      <w:r>
        <w:rPr/>
        <w:t>34. Текущий контроль за исполнением специалистом, ответственным за предоставление  государственной услуги, положений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осуществляется председателем комитета по молодежной политике Департамент, а в случае его временного отсутствия - начальником Департамента, постоянно:</w:t>
      </w:r>
    </w:p>
    <w:p>
      <w:pPr>
        <w:pStyle w:val="Normal"/>
        <w:tabs>
          <w:tab w:val="clear" w:pos="708"/>
          <w:tab w:val="left" w:pos="1276" w:leader="none"/>
        </w:tabs>
        <w:ind w:firstLine="851"/>
        <w:jc w:val="both"/>
        <w:rPr/>
      </w:pPr>
      <w:r>
        <w:rPr/>
        <w:t>1) в части  осуществления специалистом, ответственным за предоставление государственной услуги, действий по рассмотрению запроса, получению документов путем межведомственного информационного взаимодействия, подготовке письменного мотивированного отказа в предоставлении государственной услуги либо подготовке проекта распоряжения;</w:t>
      </w:r>
    </w:p>
    <w:p>
      <w:pPr>
        <w:pStyle w:val="Normal"/>
        <w:tabs>
          <w:tab w:val="clear" w:pos="708"/>
          <w:tab w:val="left" w:pos="1276" w:leader="none"/>
        </w:tabs>
        <w:ind w:firstLine="851"/>
        <w:jc w:val="both"/>
        <w:rPr/>
      </w:pPr>
      <w:r>
        <w:rPr/>
        <w:t>2) в части регистрации запроса и направления заявителю результата предоставления государственной услуги.</w:t>
      </w:r>
    </w:p>
    <w:p>
      <w:pPr>
        <w:pStyle w:val="Normal"/>
        <w:ind w:firstLine="851"/>
        <w:jc w:val="both"/>
        <w:rPr>
          <w:color w:val="000000"/>
        </w:rPr>
      </w:pPr>
      <w:r>
        <w:rPr>
          <w:color w:val="000000"/>
        </w:rPr>
        <w:t>35. Последующий контроль осуществляется в форме плановых и внеплановых проверок.</w:t>
      </w:r>
    </w:p>
    <w:p>
      <w:pPr>
        <w:pStyle w:val="Normal"/>
        <w:ind w:firstLine="851"/>
        <w:jc w:val="both"/>
        <w:rPr/>
      </w:pPr>
      <w:r>
        <w:rPr>
          <w:color w:val="000000"/>
        </w:rPr>
        <w:t xml:space="preserve">36. </w:t>
      </w:r>
      <w:r>
        <w:rPr/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 осуществляются следующим образом:</w:t>
      </w:r>
    </w:p>
    <w:p>
      <w:pPr>
        <w:pStyle w:val="Normal"/>
        <w:ind w:firstLine="851"/>
        <w:jc w:val="both"/>
        <w:rPr/>
      </w:pPr>
      <w:r>
        <w:rPr/>
        <w:t>1) плановые проверки проводятся на основании распоряжения Департамента не реже одного раза в три года;</w:t>
      </w:r>
    </w:p>
    <w:p>
      <w:pPr>
        <w:pStyle w:val="Normal"/>
        <w:ind w:firstLine="851"/>
        <w:jc w:val="both"/>
        <w:rPr/>
      </w:pPr>
      <w:r>
        <w:rPr/>
        <w:t>2) в ходе плановой проверки проводятся комплексные и тематические проверки: при проведении комплексной проверки рассматривается предоставление государственной услуги в целом, при проведении тематической проверки рассматриваются вопросы, связанные с исполнением определенной административной процедуры;</w:t>
      </w:r>
    </w:p>
    <w:p>
      <w:pPr>
        <w:pStyle w:val="Normal"/>
        <w:ind w:firstLine="851"/>
        <w:jc w:val="both"/>
        <w:rPr/>
      </w:pPr>
      <w:r>
        <w:rPr/>
        <w:t>3) внеплановая проверка проводится на основании распоряжения Департамента при поступлении в Департамент обращения заинтересованного лица;</w:t>
      </w:r>
    </w:p>
    <w:p>
      <w:pPr>
        <w:pStyle w:val="Normal"/>
        <w:ind w:firstLine="851"/>
        <w:jc w:val="both"/>
        <w:rPr/>
      </w:pPr>
      <w:r>
        <w:rPr/>
        <w:t>4) результаты проверки оформляются председателем комитета по молодежной политике Департамента в виде справки, в которой указываются выявленные нарушения или недостатки (либо их отсутствие), а также предложения по их устранению.</w:t>
      </w:r>
    </w:p>
    <w:p>
      <w:pPr>
        <w:pStyle w:val="Normal"/>
        <w:ind w:firstLine="851"/>
        <w:jc w:val="both"/>
        <w:rPr/>
      </w:pPr>
      <w:r>
        <w:rPr/>
        <w:t>37. По результатам проведения проверок, в случае выявления нарушений порядка и сроков предоставления государственной услуги, прав заявителей, виновные лица привлекаются к ответственности в соответствии с законодательством Российской Федерации.</w:t>
      </w:r>
    </w:p>
    <w:p>
      <w:pPr>
        <w:pStyle w:val="Normal"/>
        <w:ind w:firstLine="851"/>
        <w:jc w:val="both"/>
        <w:rPr>
          <w:highlight w:val="yellow"/>
        </w:rPr>
      </w:pPr>
      <w:r>
        <w:rPr/>
        <w:t>Персональная ответственность ответственных специалистов закрепляется в их должностных регламентах в соответствии с требованиями действующего законодательства.</w:t>
      </w:r>
    </w:p>
    <w:p>
      <w:pPr>
        <w:pStyle w:val="Normal"/>
        <w:ind w:firstLine="851"/>
        <w:jc w:val="both"/>
        <w:rPr/>
      </w:pPr>
      <w:r>
        <w:rPr/>
        <w:t>38.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Федерации.</w:t>
      </w:r>
    </w:p>
    <w:p>
      <w:pPr>
        <w:pStyle w:val="Normal"/>
        <w:tabs>
          <w:tab w:val="clear" w:pos="708"/>
          <w:tab w:val="left" w:pos="294" w:leader="none"/>
          <w:tab w:val="left" w:pos="709" w:leader="none"/>
        </w:tabs>
        <w:suppressAutoHyphens w:val="true"/>
        <w:ind w:firstLine="851"/>
        <w:jc w:val="both"/>
        <w:rPr/>
      </w:pPr>
      <w:r>
        <w:rPr/>
      </w:r>
    </w:p>
    <w:p>
      <w:pPr>
        <w:pStyle w:val="Normal"/>
        <w:tabs>
          <w:tab w:val="clear" w:pos="708"/>
          <w:tab w:val="left" w:pos="294" w:leader="none"/>
          <w:tab w:val="left" w:pos="709" w:leader="none"/>
        </w:tabs>
        <w:suppressAutoHyphens w:val="true"/>
        <w:ind w:firstLine="851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tabs>
          <w:tab w:val="clear" w:pos="708"/>
          <w:tab w:val="left" w:pos="294" w:leader="none"/>
          <w:tab w:val="left" w:pos="709" w:leader="none"/>
        </w:tabs>
        <w:suppressAutoHyphens w:val="true"/>
        <w:jc w:val="center"/>
        <w:rPr>
          <w:bCs/>
          <w:color w:val="000000"/>
        </w:rPr>
      </w:pPr>
      <w:r>
        <w:rPr>
          <w:bCs/>
          <w:color w:val="000000"/>
        </w:rPr>
        <w:t xml:space="preserve">5. Досудебный (внесудебный) порядок обжалования решений </w:t>
      </w:r>
    </w:p>
    <w:p>
      <w:pPr>
        <w:pStyle w:val="Normal"/>
        <w:tabs>
          <w:tab w:val="clear" w:pos="708"/>
          <w:tab w:val="left" w:pos="294" w:leader="none"/>
          <w:tab w:val="left" w:pos="709" w:leader="none"/>
        </w:tabs>
        <w:suppressAutoHyphens w:val="true"/>
        <w:jc w:val="center"/>
        <w:rPr>
          <w:bCs/>
          <w:color w:val="000000"/>
        </w:rPr>
      </w:pPr>
      <w:r>
        <w:rPr>
          <w:bCs/>
          <w:color w:val="000000"/>
        </w:rPr>
        <w:t xml:space="preserve">и действий (бездействия) органа, предоставляющего государственную услугу, </w:t>
      </w:r>
    </w:p>
    <w:p>
      <w:pPr>
        <w:pStyle w:val="Normal"/>
        <w:tabs>
          <w:tab w:val="clear" w:pos="708"/>
          <w:tab w:val="left" w:pos="294" w:leader="none"/>
          <w:tab w:val="left" w:pos="709" w:leader="none"/>
        </w:tabs>
        <w:suppressAutoHyphens w:val="true"/>
        <w:jc w:val="center"/>
        <w:rPr>
          <w:color w:val="000000"/>
        </w:rPr>
      </w:pPr>
      <w:r>
        <w:rPr>
          <w:bCs/>
          <w:color w:val="000000"/>
        </w:rPr>
        <w:t>а также должностных лиц, государственных служащих</w:t>
      </w:r>
    </w:p>
    <w:p>
      <w:pPr>
        <w:pStyle w:val="Normal"/>
        <w:keepNext w:val="true"/>
        <w:widowControl w:val="false"/>
        <w:tabs>
          <w:tab w:val="clear" w:pos="708"/>
          <w:tab w:val="left" w:pos="0" w:leader="none"/>
          <w:tab w:val="left" w:pos="1440" w:leader="none"/>
          <w:tab w:val="left" w:pos="1701" w:leader="none"/>
        </w:tabs>
        <w:ind w:firstLine="851"/>
        <w:jc w:val="center"/>
        <w:rPr>
          <w:b/>
          <w:bCs/>
          <w:color w:val="FF0000"/>
        </w:rPr>
      </w:pPr>
      <w:r>
        <w:rPr>
          <w:b/>
          <w:bCs/>
          <w:color w:val="FF0000"/>
        </w:rPr>
      </w:r>
    </w:p>
    <w:p>
      <w:pPr>
        <w:pStyle w:val="Normal"/>
        <w:ind w:firstLine="851"/>
        <w:jc w:val="both"/>
        <w:rPr/>
      </w:pPr>
      <w:r>
        <w:rPr>
          <w:color w:val="000000"/>
        </w:rPr>
        <w:t>40.</w:t>
      </w:r>
      <w:r>
        <w:rPr>
          <w:color w:val="FF0000"/>
        </w:rPr>
        <w:t xml:space="preserve"> </w:t>
      </w:r>
      <w:r>
        <w:rPr/>
        <w:t xml:space="preserve">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соответствии с Федеральным </w:t>
      </w:r>
      <w:hyperlink r:id="rId5">
        <w:r>
          <w:rPr>
            <w:color w:val="000000"/>
          </w:rPr>
          <w:t>законом</w:t>
        </w:r>
      </w:hyperlink>
      <w:r>
        <w:rPr>
          <w:color w:val="000000"/>
        </w:rPr>
        <w:t xml:space="preserve"> </w:t>
      </w:r>
      <w:r>
        <w:rPr/>
        <w:t>от 27.07.2010 № 210-ФЗ «Об организации предоставления государственных и муниципальных услуг».</w:t>
      </w:r>
    </w:p>
    <w:p>
      <w:pPr>
        <w:pStyle w:val="Normal"/>
        <w:ind w:firstLine="851"/>
        <w:jc w:val="both"/>
        <w:rPr/>
      </w:pPr>
      <w:r>
        <w:rPr/>
        <w:t>41. Жалоба на решения и действия (бездействие) начальника Департамента подается на имя Заместитель Губернатора Томской области по образованию, молодежной политике и цифровому развитию.</w:t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firstLine="851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firstLine="851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  <w:t>Приложение № 1</w:t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  <w:t>к Административному регламенту предоставления государственной услуги 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</w:t>
      </w:r>
    </w:p>
    <w:p>
      <w:pPr>
        <w:pStyle w:val="Normal"/>
        <w:numPr>
          <w:ilvl w:val="0"/>
          <w:numId w:val="0"/>
        </w:numPr>
        <w:ind w:left="5103" w:right="-284" w:hanging="0"/>
        <w:outlineLvl w:val="0"/>
        <w:rPr/>
      </w:pPr>
      <w:r>
        <w:rPr/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заявления</w:t>
      </w:r>
    </w:p>
    <w:p>
      <w:pPr>
        <w:pStyle w:val="ConsPlusNonformat"/>
        <w:ind w:left="510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ind w:left="5103" w:hanging="0"/>
        <w:rPr/>
      </w:pPr>
      <w:r>
        <w:rPr>
          <w:color w:val="000000"/>
        </w:rPr>
        <w:t xml:space="preserve">В Департамент по молодежной политике </w:t>
      </w:r>
      <w:r>
        <w:rPr/>
        <w:t xml:space="preserve">Томской области 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Заявление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Молодежное (детское) общественное объединение 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(полное наименование объединения)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(если имеется сокращенное наименование объединения)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ходатайствует о его включении в областной реестр молодежных и детских общественных объединений, пользующихся государственной поддержкой.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Объединение 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(полное наименование)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является: 1) _________________________________________________________________________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(межрегиональным, региональным, местным молодежным объединением граждан в возрасте до 35 лет, объединившихся на основе общности интересов)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_________________________________________________________________________________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(межрегиональным, региональным и местным детским объединением, в которое входят граждане в возрасте до 18 лет и совершеннолетние граждане, объединившиеся для совместной деятельности)</w:t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Подразделения объединения имеются в ___________ (указать количество) муниципальных образованиях Томской области: 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</w:p>
    <w:p>
      <w:pPr>
        <w:pStyle w:val="ConsNonformat"/>
        <w:widowControl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(указать соответствующие муниципальные образования)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Объединение является юридическим лицом. Адрес (место нахождения) постоянно действующего руководящего органа: 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2. Государственный регистрационный номер записи о государственной регистрации (основной государственный регистрационный номер) ______________________________________________;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3. Идентификационный номер налогоплательщика _______________________________________;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4. Код причины постановки на учет ____________________________________________________;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5. Регистрационный номер в Пенсионном фонде Российской Федерации ____________________;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6. Численность членов на дату представления в Департамент по молодежной политике Томской области заявления о включении молодежного и детского объединения в реестр: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в возрасте до 18 лет (включительно) ____________________________________________________;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в возрасте от 19 до 35 лет (включительно) _______________________________________________;</w:t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bookmarkStart w:id="6" w:name="Par150"/>
      <w:bookmarkEnd w:id="6"/>
      <w:r>
        <w:rPr>
          <w:rFonts w:ascii="Times New Roman" w:hAnsi="Times New Roman"/>
          <w:sz w:val="24"/>
          <w:szCs w:val="24"/>
        </w:rPr>
        <w:t>7. Цель создания и деятельности молодежного и детского объединения в соответствии с его уставом: ____________________________________________________________________________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8. Информация о видах деятельности, осуществляемых молодежным и детским объединением в соответствии с его уставом: ___________________________________________________________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____________________________________________________________________________________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276"/>
        <w:jc w:val="both"/>
        <w:rPr/>
      </w:pPr>
      <w:r>
        <w:rPr/>
        <w:t>____________________________________________________________________________________</w:t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Контактная информация молодежного и детского объединения: </w:t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Фамилия Имя Отчество, должность руководителя:________________________________________ ____________________________________________________________________________________фактический адрес (с указанием индекса)________________________________________________ телефон/факс (с указанием кода)________________________________________________________</w:t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электронной почты, адрес сайта (при наличии)______________________________________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>
      <w:pPr>
        <w:pStyle w:val="Con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nsNonformat"/>
        <w:widowControl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Копия Устава молодежного и детского общественного объединения, заверенная руководителем (или лицом, его замещающим) постоянно действующего руководящего органа молодежного и детского объединения в одном экземпляре.</w:t>
      </w:r>
    </w:p>
    <w:p>
      <w:pPr>
        <w:pStyle w:val="ConsNonformat"/>
        <w:widowControl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Оригинал или нотариально заверенная копия выписки из Единого государственного реестра юридических лиц на бумажном носителе (по желанию заявителя).</w:t>
      </w:r>
    </w:p>
    <w:p>
      <w:pPr>
        <w:pStyle w:val="Con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_____________                                                                                      ___________/________________</w:t>
      </w:r>
    </w:p>
    <w:p>
      <w:pPr>
        <w:pStyle w:val="Normal"/>
        <w:rPr/>
      </w:pPr>
      <w:r>
        <w:rPr/>
        <w:t xml:space="preserve">Дата (дд.мм.гг.)                                                                                    (Подпись*)   /        (ФИО)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  </w:t>
      </w:r>
      <w:r>
        <w:rPr/>
        <w:t>М.П.</w:t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jc w:val="both"/>
        <w:rPr/>
      </w:pPr>
      <w:r>
        <w:rPr/>
        <w:t>*</w:t>
      </w:r>
      <w:r>
        <w:rPr>
          <w:sz w:val="18"/>
          <w:szCs w:val="18"/>
        </w:rPr>
        <w:t xml:space="preserve"> </w:t>
      </w:r>
      <w:r>
        <w:rPr/>
        <w:t>Подпись руководителя (или лица, его замещающего, с приложением документа, подтверждающего его полномочия) постоянно действующего руководящего органа объединения с указанием Фамилии Имени Отчества (при наличии последнего) и наименования занимаемой должности.</w:t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  <w:t>Приложение № 2</w:t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>
          <w:rFonts w:ascii="Times New Roman CYR" w:hAnsi="Times New Roman CYR" w:cs="Times New Roman CYR"/>
        </w:rPr>
      </w:pPr>
      <w:r>
        <w:rPr/>
        <w:t>к Административному регламенту предоставления государственной услуги 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Последовательность действий при предоставлении государственной услуги</w:t>
      </w:r>
    </w:p>
    <w:p>
      <w:pPr>
        <w:pStyle w:val="Normal"/>
        <w:jc w:val="center"/>
        <w:rPr/>
      </w:pPr>
      <w:r>
        <w:rPr/>
        <w:t>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</w: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1047750</wp:posOffset>
                </wp:positionH>
                <wp:positionV relativeFrom="paragraph">
                  <wp:posOffset>102235</wp:posOffset>
                </wp:positionV>
                <wp:extent cx="4343400" cy="522605"/>
                <wp:effectExtent l="635" t="1270" r="635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52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/>
                            </w:pPr>
                            <w:r>
                              <w:rPr/>
                              <w:t>Прием и регистрация заявления и документов, необходимых для предоставления  государственной услуги (1 рабочий день)</w:t>
                            </w:r>
                          </w:p>
                          <w:p>
                            <w:pPr>
                              <w:pStyle w:val="Style32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fillcolor="white" stroked="t" o:allowincell="f" style="position:absolute;margin-left:82.5pt;margin-top:8.05pt;width:341.95pt;height:41.1pt;mso-wrap-style:square;v-text-anchor:top">
                <v:fill o:detectmouseclick="t" type="solid" color2="black"/>
                <v:stroke color="black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/>
                      </w:pPr>
                      <w:r>
                        <w:rPr/>
                        <w:t>Прием и регистрация заявления и документов, необходимых для предоставления  государственной услуги (1 рабочий день)</w:t>
                      </w:r>
                    </w:p>
                    <w:p>
                      <w:pPr>
                        <w:pStyle w:val="Style32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  <mc:AlternateContent>
          <mc:Choice Requires="wps">
            <w:drawing>
              <wp:anchor behindDoc="0" distT="635" distB="0" distL="38100" distR="38100" simplePos="0" locked="0" layoutInCell="1" allowOverlap="1" relativeHeight="12">
                <wp:simplePos x="0" y="0"/>
                <wp:positionH relativeFrom="column">
                  <wp:posOffset>3147695</wp:posOffset>
                </wp:positionH>
                <wp:positionV relativeFrom="paragraph">
                  <wp:posOffset>151130</wp:posOffset>
                </wp:positionV>
                <wp:extent cx="635" cy="342900"/>
                <wp:effectExtent l="38100" t="635" r="38100" b="0"/>
                <wp:wrapNone/>
                <wp:docPr id="2" name="Прямая соединительная линия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3430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7.85pt,11.9pt" to="247.85pt,38.85pt" ID="Прямая соединительная линия 19" stroked="t" o:allowincell="f" style="position:absolute">
                <v:stroke color="black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1047750</wp:posOffset>
                </wp:positionH>
                <wp:positionV relativeFrom="paragraph">
                  <wp:posOffset>16510</wp:posOffset>
                </wp:positionV>
                <wp:extent cx="4343400" cy="530860"/>
                <wp:effectExtent l="0" t="0" r="0" b="0"/>
                <wp:wrapNone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53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/>
                            </w:pPr>
                            <w:r>
                              <w:rPr/>
                              <w:t>Проверка заявления и документов, необходимых для предоставления государственной услуги (11 рабочих дней)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path="m0,0l-2147483645,0l-2147483645,-2147483646l0,-2147483646xe" fillcolor="white" stroked="t" o:allowincell="f" style="position:absolute;margin-left:82.5pt;margin-top:1.3pt;width:341.95pt;height:41.75pt;mso-wrap-style:square;v-text-anchor:top">
                <v:fill o:detectmouseclick="t" type="solid" color2="black"/>
                <v:stroke color="black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/>
                      </w:pPr>
                      <w:r>
                        <w:rPr/>
                        <w:t>Проверка заявления и документов, необходимых для предоставления государственной услуги (11 рабочих дней)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  <mc:AlternateContent>
          <mc:Choice Requires="wps">
            <w:drawing>
              <wp:anchor behindDoc="0" distT="635" distB="0" distL="38100" distR="38100" simplePos="0" locked="0" layoutInCell="1" allowOverlap="1" relativeHeight="9">
                <wp:simplePos x="0" y="0"/>
                <wp:positionH relativeFrom="column">
                  <wp:posOffset>3147695</wp:posOffset>
                </wp:positionH>
                <wp:positionV relativeFrom="paragraph">
                  <wp:posOffset>105410</wp:posOffset>
                </wp:positionV>
                <wp:extent cx="635" cy="342900"/>
                <wp:effectExtent l="38100" t="635" r="38100" b="0"/>
                <wp:wrapNone/>
                <wp:docPr id="4" name="Фигур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3430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7.85pt,8.3pt" to="247.85pt,35.25pt" ID="Фигура4" stroked="t" o:allowincell="f" style="position:absolute">
                <v:stroke color="black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jc w:val="center"/>
        <w:rPr>
          <w:u w:val="single"/>
        </w:rPr>
      </w:pPr>
      <w:r>
        <w:rPr>
          <w:u w:val="single"/>
        </w:rP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1099820</wp:posOffset>
                </wp:positionH>
                <wp:positionV relativeFrom="paragraph">
                  <wp:posOffset>97790</wp:posOffset>
                </wp:positionV>
                <wp:extent cx="4343400" cy="646430"/>
                <wp:effectExtent l="0" t="0" r="0" b="0"/>
                <wp:wrapNone/>
                <wp:docPr id="5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64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Принятие решения о включении в реестр или об отказе во включении в реестр</w:t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/>
                            </w:pPr>
                            <w:r>
                              <w:rPr/>
                              <w:t>(5 рабочих дней)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path="m0,0l-2147483645,0l-2147483645,-2147483646l0,-2147483646xe" fillcolor="white" stroked="t" o:allowincell="f" style="position:absolute;margin-left:86.6pt;margin-top:7.7pt;width:341.95pt;height:50.85pt;mso-wrap-style:square;v-text-anchor:top">
                <v:fill o:detectmouseclick="t" type="solid" color2="black"/>
                <v:stroke color="black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Принятие решения о включении в реестр или об отказе во включении в реестр</w:t>
                      </w:r>
                    </w:p>
                    <w:p>
                      <w:pPr>
                        <w:pStyle w:val="Style32"/>
                        <w:jc w:val="center"/>
                        <w:rPr/>
                      </w:pPr>
                      <w:r>
                        <w:rPr/>
                        <w:t>(5 рабочих дней)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  <mc:AlternateContent>
          <mc:Choice Requires="wps">
            <w:drawing>
              <wp:anchor behindDoc="1" distT="635" distB="0" distL="38100" distR="38100" simplePos="0" locked="0" layoutInCell="1" allowOverlap="1" relativeHeight="4">
                <wp:simplePos x="0" y="0"/>
                <wp:positionH relativeFrom="column">
                  <wp:posOffset>3204210</wp:posOffset>
                </wp:positionH>
                <wp:positionV relativeFrom="paragraph">
                  <wp:posOffset>125730</wp:posOffset>
                </wp:positionV>
                <wp:extent cx="635" cy="342900"/>
                <wp:effectExtent l="38100" t="635" r="38100" b="0"/>
                <wp:wrapNone/>
                <wp:docPr id="6" name="Фигур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3430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2.3pt,9.9pt" to="252.3pt,36.85pt" ID="Фигура6" stroked="t" o:allowincell="f" style="position:absolute">
                <v:stroke color="black" endarrow="block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1099820</wp:posOffset>
                </wp:positionH>
                <wp:positionV relativeFrom="paragraph">
                  <wp:posOffset>118110</wp:posOffset>
                </wp:positionV>
                <wp:extent cx="4343400" cy="462915"/>
                <wp:effectExtent l="635" t="1270" r="635" b="0"/>
                <wp:wrapNone/>
                <wp:docPr id="7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46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/>
                            </w:pPr>
                            <w:r>
                              <w:rPr/>
                              <w:t>Уведомление заявителя о включении в реестр или об отказе во включении в реестр (4 рабочих дней)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4" path="m0,0l-2147483645,0l-2147483645,-2147483646l0,-2147483646xe" fillcolor="white" stroked="t" o:allowincell="f" style="position:absolute;margin-left:86.6pt;margin-top:9.3pt;width:341.95pt;height:36.4pt;mso-wrap-style:square;v-text-anchor:top">
                <v:fill o:detectmouseclick="t" type="solid" color2="black"/>
                <v:stroke color="black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/>
                      </w:pPr>
                      <w:r>
                        <w:rPr/>
                        <w:t>Уведомление заявителя о включении в реестр или об отказе во включении в реестр (4 рабочих дней)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918" w:leader="none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  <w:tab w:val="left" w:pos="2175" w:leader="none"/>
        </w:tabs>
        <w:ind w:left="567" w:hanging="0"/>
        <w:rPr/>
      </w:pPr>
      <w:r>
        <w:rPr/>
        <w:tab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tabs>
          <w:tab w:val="clear" w:pos="708"/>
          <w:tab w:val="left" w:pos="1260" w:leader="none"/>
          <w:tab w:val="left" w:pos="1620" w:leader="none"/>
        </w:tabs>
        <w:ind w:left="567" w:hanging="0"/>
        <w:rPr/>
      </w:pPr>
      <w:r>
        <w:rPr/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u w:val="single"/>
        </w:rPr>
      </w:pPr>
      <w:r>
        <w:rPr>
          <w:u w:val="single"/>
        </w:rPr>
      </w:r>
      <w:r>
        <w:br w:type="page"/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/>
      </w:pPr>
      <w:r>
        <w:rPr/>
        <w:t>Приложение № 3</w:t>
      </w:r>
    </w:p>
    <w:p>
      <w:pPr>
        <w:pStyle w:val="Normal"/>
        <w:tabs>
          <w:tab w:val="clear" w:pos="708"/>
          <w:tab w:val="left" w:pos="1134" w:leader="none"/>
          <w:tab w:val="left" w:pos="1440" w:leader="none"/>
        </w:tabs>
        <w:suppressAutoHyphens w:val="true"/>
        <w:ind w:left="5103" w:hanging="0"/>
        <w:jc w:val="both"/>
        <w:rPr>
          <w:rFonts w:ascii="Times New Roman CYR" w:hAnsi="Times New Roman CYR" w:cs="Times New Roman CYR"/>
        </w:rPr>
      </w:pPr>
      <w:r>
        <w:rPr/>
        <w:t>к Административному регламенту предоставления государственной услуги «В</w:t>
      </w:r>
      <w:r>
        <w:rPr>
          <w:bCs/>
        </w:rPr>
        <w:t>ключение в областной реестр молодежных и детских общественных объединений, пользующихся государственной поддержкой</w:t>
      </w:r>
      <w:r>
        <w:rPr/>
        <w:t>»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Журнал регистрации запросов на включение в областной реестр молодежных и детских общественных объединений, пользующихся государственной поддержкой</w:t>
      </w:r>
    </w:p>
    <w:p>
      <w:pPr>
        <w:pStyle w:val="Normal"/>
        <w:jc w:val="center"/>
        <w:rPr/>
      </w:pPr>
      <w:r>
        <w:rPr/>
      </w:r>
    </w:p>
    <w:tbl>
      <w:tblPr>
        <w:tblW w:w="1014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97"/>
        <w:gridCol w:w="1112"/>
        <w:gridCol w:w="2977"/>
        <w:gridCol w:w="1700"/>
        <w:gridCol w:w="1619"/>
        <w:gridCol w:w="2036"/>
      </w:tblGrid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t xml:space="preserve">№ </w:t>
            </w:r>
            <w:r>
              <w:rPr/>
              <w:t>п.п.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Дата представления документов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Наименование молодежного и детского общественного объединения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Наличие заявления на электронном носителе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Наличие копии устава (с указанием количества страниц)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Наличие оригинала или нотариально заверенной копии выписки из Единого государственного реестра юридических лиц (с указанием количества страниц)</w:t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</w:t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26"/>
        <w:ind w:right="-99" w:hanging="0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type w:val="nextPage"/>
      <w:pgSz w:w="11906" w:h="16838"/>
      <w:pgMar w:left="1134" w:right="680" w:gutter="0" w:header="720" w:top="777" w:footer="720" w:bottom="777"/>
      <w:pgNumType w:start="1"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  <w:font w:name="Tahoma">
    <w:charset w:val="01"/>
    <w:family w:val="roman"/>
    <w:pitch w:val="default"/>
  </w:font>
  <w:font w:name="Calibri">
    <w:charset w:val="01"/>
    <w:family w:val="roman"/>
    <w:pitch w:val="default"/>
  </w:font>
  <w:font w:name="Times New Roman CYR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9" name="Врезка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5" path="m0,0l-2147483645,0l-2147483645,-2147483646l0,-2147483646xe" fillcolor="white" stroked="f" o:allowincell="f" style="position:absolute;margin-left:0pt;margin-top:0.05pt;width:1.1pt;height:1.1pt;mso-wrap-style:square;v-text-anchor:top;mso-position-horizontal:right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2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Normal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  <w:p>
    <w:pPr>
      <w:pStyle w:val="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153" w:leader="none"/>
        <w:tab w:val="left" w:pos="4215" w:leader="none"/>
        <w:tab w:val="right" w:pos="8306" w:leader="none"/>
      </w:tabs>
      <w:spacing w:before="120" w:after="0"/>
      <w:rPr>
        <w:b/>
        <w:caps/>
        <w:sz w:val="32"/>
        <w:szCs w:val="32"/>
      </w:rPr>
    </w:pPr>
    <w:r>
      <w:rPr>
        <w:b/>
        <w:caps/>
        <w:sz w:val="32"/>
        <w:szCs w:val="32"/>
      </w:rPr>
      <w:tab/>
      <w:tab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tabs>
        <w:tab w:val="clear" w:pos="4677"/>
        <w:tab w:val="clear" w:pos="9355"/>
        <w:tab w:val="center" w:pos="4153" w:leader="none"/>
        <w:tab w:val="right" w:pos="8306" w:leader="none"/>
      </w:tabs>
      <w:spacing w:before="120" w:after="0"/>
      <w:jc w:val="center"/>
      <w:rPr>
        <w:b/>
        <w:caps/>
        <w:sz w:val="32"/>
        <w:szCs w:val="32"/>
      </w:rPr>
    </w:pPr>
    <w:r>
      <w:rPr/>
      <w:drawing>
        <wp:inline distT="0" distB="0" distL="0" distR="0">
          <wp:extent cx="1009650" cy="962025"/>
          <wp:effectExtent l="0" t="0" r="0" b="0"/>
          <wp:docPr id="8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3"/>
      <w:tabs>
        <w:tab w:val="clear" w:pos="4677"/>
        <w:tab w:val="clear" w:pos="9355"/>
        <w:tab w:val="center" w:pos="4153" w:leader="none"/>
        <w:tab w:val="right" w:pos="8306" w:leader="none"/>
      </w:tabs>
      <w:spacing w:before="120" w:after="0"/>
      <w:jc w:val="center"/>
      <w:rPr>
        <w:b/>
        <w:caps/>
        <w:sz w:val="32"/>
        <w:szCs w:val="32"/>
      </w:rPr>
    </w:pPr>
    <w:r>
      <w:rPr>
        <w:b/>
        <w:caps/>
        <w:sz w:val="32"/>
        <w:szCs w:val="32"/>
      </w:rPr>
      <w:t>Департамент по молодежной политике</w:t>
    </w:r>
  </w:p>
  <w:p>
    <w:pPr>
      <w:pStyle w:val="Style23"/>
      <w:tabs>
        <w:tab w:val="clear" w:pos="4677"/>
        <w:tab w:val="clear" w:pos="9355"/>
        <w:tab w:val="center" w:pos="4153" w:leader="none"/>
        <w:tab w:val="right" w:pos="8306" w:leader="none"/>
      </w:tabs>
      <w:spacing w:before="120" w:after="0"/>
      <w:jc w:val="center"/>
      <w:rPr>
        <w:b/>
        <w:caps/>
        <w:sz w:val="32"/>
        <w:szCs w:val="32"/>
      </w:rPr>
    </w:pPr>
    <w:r>
      <w:rPr>
        <w:b/>
        <w:caps/>
        <w:sz w:val="32"/>
        <w:szCs w:val="32"/>
      </w:rPr>
      <w:t>Томской области</w:t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74d9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1"/>
    <w:qFormat/>
    <w:rsid w:val="004d4401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21"/>
    <w:qFormat/>
    <w:rsid w:val="004a4eb2"/>
    <w:pPr>
      <w:keepNext w:val="true"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basedOn w:val="Normal"/>
    <w:next w:val="Normal"/>
    <w:link w:val="32"/>
    <w:qFormat/>
    <w:rsid w:val="004a4eb2"/>
    <w:pPr>
      <w:keepNext w:val="true"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Normal"/>
    <w:next w:val="Normal"/>
    <w:link w:val="41"/>
    <w:qFormat/>
    <w:rsid w:val="004a4eb2"/>
    <w:pPr>
      <w:keepNext w:val="true"/>
      <w:spacing w:before="120" w:after="0"/>
      <w:ind w:firstLine="720"/>
      <w:jc w:val="center"/>
      <w:outlineLvl w:val="3"/>
    </w:pPr>
    <w:rPr>
      <w:b/>
      <w:bCs/>
      <w:sz w:val="22"/>
    </w:rPr>
  </w:style>
  <w:style w:type="paragraph" w:styleId="5">
    <w:name w:val="Heading 5"/>
    <w:basedOn w:val="Normal"/>
    <w:next w:val="Normal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Normal"/>
    <w:next w:val="Normal"/>
    <w:link w:val="71"/>
    <w:qFormat/>
    <w:rsid w:val="004a4eb2"/>
    <w:pPr>
      <w:keepNext w:val="true"/>
      <w:tabs>
        <w:tab w:val="clear" w:pos="708"/>
        <w:tab w:val="left" w:pos="1440" w:leader="none"/>
      </w:tabs>
      <w:outlineLvl w:val="6"/>
    </w:pPr>
    <w:rPr>
      <w:bCs/>
      <w:sz w:val="28"/>
    </w:rPr>
  </w:style>
  <w:style w:type="paragraph" w:styleId="8">
    <w:name w:val="Heading 8"/>
    <w:basedOn w:val="Normal"/>
    <w:next w:val="Normal"/>
    <w:link w:val="81"/>
    <w:qFormat/>
    <w:rsid w:val="004a4eb2"/>
    <w:pPr>
      <w:keepNext w:val="true"/>
      <w:tabs>
        <w:tab w:val="clear" w:pos="708"/>
        <w:tab w:val="left" w:pos="1440" w:leader="none"/>
      </w:tabs>
      <w:spacing w:before="120" w:after="0"/>
      <w:jc w:val="both"/>
      <w:outlineLvl w:val="7"/>
    </w:pPr>
    <w:rPr>
      <w:sz w:val="2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-">
    <w:name w:val="Hyperlink"/>
    <w:basedOn w:val="DefaultParagraphFont"/>
    <w:rsid w:val="00074d9e"/>
    <w:rPr>
      <w:color w:val="0000FF"/>
      <w:u w:val="single"/>
    </w:rPr>
  </w:style>
  <w:style w:type="character" w:styleId="Pagenumber">
    <w:name w:val="page number"/>
    <w:basedOn w:val="DefaultParagraphFont"/>
    <w:qFormat/>
    <w:rsid w:val="00795ef8"/>
    <w:rPr/>
  </w:style>
  <w:style w:type="character" w:styleId="31" w:customStyle="1">
    <w:name w:val="Основной текст 3 Знак"/>
    <w:basedOn w:val="DefaultParagraphFont"/>
    <w:link w:val="BodyText3"/>
    <w:qFormat/>
    <w:rsid w:val="002b3418"/>
    <w:rPr>
      <w:sz w:val="22"/>
      <w:szCs w:val="24"/>
    </w:rPr>
  </w:style>
  <w:style w:type="character" w:styleId="Style6" w:customStyle="1">
    <w:name w:val="Верхний колонтитул Знак"/>
    <w:basedOn w:val="DefaultParagraphFont"/>
    <w:uiPriority w:val="99"/>
    <w:qFormat/>
    <w:rsid w:val="00743cc1"/>
    <w:rPr>
      <w:sz w:val="24"/>
      <w:szCs w:val="24"/>
    </w:rPr>
  </w:style>
  <w:style w:type="character" w:styleId="FontStyle17" w:customStyle="1">
    <w:name w:val="Font Style17"/>
    <w:qFormat/>
    <w:rsid w:val="00b9746f"/>
    <w:rPr>
      <w:rFonts w:ascii="Times New Roman" w:hAnsi="Times New Roman"/>
      <w:sz w:val="26"/>
    </w:rPr>
  </w:style>
  <w:style w:type="character" w:styleId="Style7" w:customStyle="1">
    <w:name w:val="Основной текст Знак"/>
    <w:basedOn w:val="DefaultParagraphFont"/>
    <w:qFormat/>
    <w:rsid w:val="00fd247c"/>
    <w:rPr>
      <w:sz w:val="24"/>
      <w:szCs w:val="24"/>
    </w:rPr>
  </w:style>
  <w:style w:type="character" w:styleId="11" w:customStyle="1">
    <w:name w:val="Заголовок 1 Знак"/>
    <w:basedOn w:val="DefaultParagraphFont"/>
    <w:qFormat/>
    <w:rsid w:val="004d4401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8" w:customStyle="1">
    <w:name w:val="Заголовок Знак"/>
    <w:basedOn w:val="DefaultParagraphFont"/>
    <w:qFormat/>
    <w:rsid w:val="004d4401"/>
    <w:rPr>
      <w:sz w:val="32"/>
    </w:rPr>
  </w:style>
  <w:style w:type="character" w:styleId="Style9" w:customStyle="1">
    <w:name w:val="Нижний колонтитул Знак"/>
    <w:basedOn w:val="DefaultParagraphFont"/>
    <w:qFormat/>
    <w:rsid w:val="004d4401"/>
    <w:rPr>
      <w:sz w:val="24"/>
      <w:szCs w:val="24"/>
    </w:rPr>
  </w:style>
  <w:style w:type="character" w:styleId="21" w:customStyle="1">
    <w:name w:val="Заголовок 2 Знак"/>
    <w:basedOn w:val="DefaultParagraphFont"/>
    <w:qFormat/>
    <w:rsid w:val="004a4eb2"/>
    <w:rPr>
      <w:rFonts w:ascii="Arial" w:hAnsi="Arial"/>
      <w:b/>
      <w:i/>
      <w:sz w:val="28"/>
    </w:rPr>
  </w:style>
  <w:style w:type="character" w:styleId="32" w:customStyle="1">
    <w:name w:val="Заголовок 3 Знак"/>
    <w:basedOn w:val="DefaultParagraphFont"/>
    <w:qFormat/>
    <w:rsid w:val="004a4eb2"/>
    <w:rPr>
      <w:rFonts w:ascii="Arial" w:hAnsi="Arial"/>
      <w:b/>
      <w:sz w:val="26"/>
    </w:rPr>
  </w:style>
  <w:style w:type="character" w:styleId="41" w:customStyle="1">
    <w:name w:val="Заголовок 4 Знак"/>
    <w:basedOn w:val="DefaultParagraphFont"/>
    <w:qFormat/>
    <w:rsid w:val="004a4eb2"/>
    <w:rPr>
      <w:b/>
      <w:bCs/>
      <w:sz w:val="22"/>
      <w:szCs w:val="24"/>
    </w:rPr>
  </w:style>
  <w:style w:type="character" w:styleId="71" w:customStyle="1">
    <w:name w:val="Заголовок 7 Знак"/>
    <w:basedOn w:val="DefaultParagraphFont"/>
    <w:qFormat/>
    <w:rsid w:val="004a4eb2"/>
    <w:rPr>
      <w:bCs/>
      <w:sz w:val="28"/>
      <w:szCs w:val="24"/>
    </w:rPr>
  </w:style>
  <w:style w:type="character" w:styleId="81" w:customStyle="1">
    <w:name w:val="Заголовок 8 Знак"/>
    <w:basedOn w:val="DefaultParagraphFont"/>
    <w:qFormat/>
    <w:rsid w:val="004a4eb2"/>
    <w:rPr>
      <w:sz w:val="28"/>
      <w:szCs w:val="24"/>
    </w:rPr>
  </w:style>
  <w:style w:type="character" w:styleId="Style10">
    <w:name w:val="Символ сноски"/>
    <w:qFormat/>
    <w:rsid w:val="004a4eb2"/>
    <w:rPr>
      <w:vertAlign w:val="superscript"/>
    </w:rPr>
  </w:style>
  <w:style w:type="character" w:styleId="Style11">
    <w:name w:val="Footnote Reference"/>
    <w:rPr>
      <w:vertAlign w:val="superscript"/>
    </w:rPr>
  </w:style>
  <w:style w:type="character" w:styleId="Style12" w:customStyle="1">
    <w:name w:val="Текст сноски Знак"/>
    <w:basedOn w:val="DefaultParagraphFont"/>
    <w:qFormat/>
    <w:rsid w:val="004a4eb2"/>
    <w:rPr/>
  </w:style>
  <w:style w:type="character" w:styleId="Style13" w:customStyle="1">
    <w:name w:val="Основной текст с отступом Знак"/>
    <w:basedOn w:val="DefaultParagraphFont"/>
    <w:qFormat/>
    <w:rsid w:val="004a4eb2"/>
    <w:rPr>
      <w:sz w:val="22"/>
      <w:szCs w:val="24"/>
    </w:rPr>
  </w:style>
  <w:style w:type="character" w:styleId="22" w:customStyle="1">
    <w:name w:val="Основной текст с отступом 2 Знак"/>
    <w:basedOn w:val="DefaultParagraphFont"/>
    <w:link w:val="BodyTextIndent2"/>
    <w:qFormat/>
    <w:rsid w:val="004a4eb2"/>
    <w:rPr>
      <w:sz w:val="22"/>
      <w:szCs w:val="24"/>
    </w:rPr>
  </w:style>
  <w:style w:type="character" w:styleId="33" w:customStyle="1">
    <w:name w:val="Основной текст с отступом 3 Знак"/>
    <w:basedOn w:val="DefaultParagraphFont"/>
    <w:link w:val="BodyTextIndent3"/>
    <w:qFormat/>
    <w:rsid w:val="004a4eb2"/>
    <w:rPr>
      <w:sz w:val="28"/>
      <w:szCs w:val="24"/>
    </w:rPr>
  </w:style>
  <w:style w:type="character" w:styleId="23" w:customStyle="1">
    <w:name w:val="Основной текст 2 Знак"/>
    <w:basedOn w:val="DefaultParagraphFont"/>
    <w:link w:val="BodyText2"/>
    <w:qFormat/>
    <w:rsid w:val="004a4eb2"/>
    <w:rPr>
      <w:sz w:val="28"/>
      <w:szCs w:val="24"/>
    </w:rPr>
  </w:style>
  <w:style w:type="character" w:styleId="Strong">
    <w:name w:val="Strong"/>
    <w:qFormat/>
    <w:rsid w:val="004a4eb2"/>
    <w:rPr>
      <w:b/>
      <w:bCs/>
    </w:rPr>
  </w:style>
  <w:style w:type="character" w:styleId="Style31" w:customStyle="1">
    <w:name w:val="style3"/>
    <w:basedOn w:val="DefaultParagraphFont"/>
    <w:qFormat/>
    <w:rsid w:val="004a4eb2"/>
    <w:rPr/>
  </w:style>
  <w:style w:type="character" w:styleId="Style14" w:customStyle="1">
    <w:name w:val="style1"/>
    <w:basedOn w:val="DefaultParagraphFont"/>
    <w:qFormat/>
    <w:rsid w:val="004a4eb2"/>
    <w:rPr/>
  </w:style>
  <w:style w:type="character" w:styleId="Style15" w:customStyle="1">
    <w:name w:val="Гипертекстовая ссылка"/>
    <w:basedOn w:val="DefaultParagraphFont"/>
    <w:uiPriority w:val="99"/>
    <w:qFormat/>
    <w:rsid w:val="004a4eb2"/>
    <w:rPr>
      <w:color w:val="106BB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link w:val="Style7"/>
    <w:rsid w:val="00fd247c"/>
    <w:pPr>
      <w:spacing w:before="0" w:after="12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nsPlusNormal" w:customStyle="1">
    <w:name w:val="ConsPlusNormal"/>
    <w:qFormat/>
    <w:rsid w:val="00074d9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074d9e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2" w:customStyle="1">
    <w:name w:val="Знак Знак Знак1 Знак"/>
    <w:basedOn w:val="Normal"/>
    <w:qFormat/>
    <w:rsid w:val="00074d9e"/>
    <w:pPr>
      <w:spacing w:lineRule="exact" w:line="240" w:before="0" w:after="160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qFormat/>
    <w:rsid w:val="00074d9e"/>
    <w:pPr/>
    <w:rPr>
      <w:rFonts w:ascii="Tahoma" w:hAnsi="Tahoma" w:cs="Tahoma"/>
      <w:sz w:val="16"/>
      <w:szCs w:val="16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Footer"/>
    <w:basedOn w:val="Normal"/>
    <w:link w:val="Style9"/>
    <w:rsid w:val="00795ef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Bullet">
    <w:name w:val="List Bullet"/>
    <w:basedOn w:val="Normal"/>
    <w:qFormat/>
    <w:rsid w:val="00080026"/>
    <w:pPr>
      <w:numPr>
        <w:ilvl w:val="0"/>
        <w:numId w:val="1"/>
      </w:numPr>
      <w:spacing w:before="0" w:after="0"/>
      <w:contextualSpacing/>
    </w:pPr>
    <w:rPr/>
  </w:style>
  <w:style w:type="paragraph" w:styleId="Style23">
    <w:name w:val="Header"/>
    <w:basedOn w:val="Normal"/>
    <w:link w:val="Style6"/>
    <w:uiPriority w:val="99"/>
    <w:rsid w:val="00fd2a3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3">
    <w:name w:val="Body Text 3"/>
    <w:basedOn w:val="Normal"/>
    <w:link w:val="31"/>
    <w:qFormat/>
    <w:rsid w:val="0014745a"/>
    <w:pPr/>
    <w:rPr>
      <w:sz w:val="22"/>
    </w:rPr>
  </w:style>
  <w:style w:type="paragraph" w:styleId="NormalWeb">
    <w:name w:val="Normal (Web)"/>
    <w:basedOn w:val="Normal"/>
    <w:qFormat/>
    <w:rsid w:val="00af5695"/>
    <w:pPr>
      <w:spacing w:beforeAutospacing="1" w:afterAutospacing="1"/>
    </w:pPr>
    <w:rPr>
      <w:rFonts w:ascii="Tahoma" w:hAnsi="Tahoma" w:cs="Tahoma"/>
      <w:color w:val="4E4F4F"/>
      <w:sz w:val="14"/>
      <w:szCs w:val="14"/>
    </w:rPr>
  </w:style>
  <w:style w:type="paragraph" w:styleId="Style24" w:customStyle="1">
    <w:name w:val="Обращение"/>
    <w:basedOn w:val="Normal"/>
    <w:next w:val="Normal"/>
    <w:qFormat/>
    <w:rsid w:val="00743cc1"/>
    <w:pPr>
      <w:spacing w:before="240" w:after="120"/>
      <w:jc w:val="center"/>
    </w:pPr>
    <w:rPr>
      <w:b/>
      <w:sz w:val="26"/>
      <w:szCs w:val="20"/>
    </w:rPr>
  </w:style>
  <w:style w:type="paragraph" w:styleId="Style25" w:customStyle="1">
    <w:name w:val="Адресат"/>
    <w:basedOn w:val="Normal"/>
    <w:qFormat/>
    <w:rsid w:val="00743cc1"/>
    <w:pPr>
      <w:spacing w:before="120" w:after="0"/>
    </w:pPr>
    <w:rPr>
      <w:b/>
      <w:sz w:val="26"/>
      <w:szCs w:val="20"/>
    </w:rPr>
  </w:style>
  <w:style w:type="paragraph" w:styleId="ListParagraph">
    <w:name w:val="List Paragraph"/>
    <w:basedOn w:val="Normal"/>
    <w:uiPriority w:val="34"/>
    <w:qFormat/>
    <w:rsid w:val="00b9746f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tyle26">
    <w:name w:val="Title"/>
    <w:basedOn w:val="Normal"/>
    <w:link w:val="Style8"/>
    <w:qFormat/>
    <w:rsid w:val="004d4401"/>
    <w:pPr>
      <w:jc w:val="center"/>
    </w:pPr>
    <w:rPr>
      <w:sz w:val="32"/>
      <w:szCs w:val="20"/>
    </w:rPr>
  </w:style>
  <w:style w:type="paragraph" w:styleId="13" w:customStyle="1">
    <w:name w:val="Заголовок 1 Галя"/>
    <w:basedOn w:val="Normal"/>
    <w:qFormat/>
    <w:rsid w:val="004a4eb2"/>
    <w:pPr>
      <w:jc w:val="center"/>
    </w:pPr>
    <w:rPr>
      <w:b/>
      <w:sz w:val="28"/>
      <w:szCs w:val="20"/>
    </w:rPr>
  </w:style>
  <w:style w:type="paragraph" w:styleId="Style27">
    <w:name w:val="Footnote Text"/>
    <w:basedOn w:val="Normal"/>
    <w:link w:val="Style12"/>
    <w:rsid w:val="004a4eb2"/>
    <w:pPr/>
    <w:rPr>
      <w:sz w:val="20"/>
      <w:szCs w:val="20"/>
    </w:rPr>
  </w:style>
  <w:style w:type="paragraph" w:styleId="Style28">
    <w:name w:val="Body Text Indent"/>
    <w:basedOn w:val="Normal"/>
    <w:link w:val="Style13"/>
    <w:rsid w:val="004a4eb2"/>
    <w:pPr>
      <w:tabs>
        <w:tab w:val="clear" w:pos="708"/>
        <w:tab w:val="left" w:pos="1260" w:leader="none"/>
      </w:tabs>
      <w:spacing w:before="120" w:after="0"/>
      <w:ind w:left="720" w:hanging="0"/>
      <w:jc w:val="both"/>
    </w:pPr>
    <w:rPr>
      <w:sz w:val="22"/>
    </w:rPr>
  </w:style>
  <w:style w:type="paragraph" w:styleId="BodyTextIndent2">
    <w:name w:val="Body Text Indent 2"/>
    <w:basedOn w:val="Normal"/>
    <w:link w:val="22"/>
    <w:qFormat/>
    <w:rsid w:val="004a4eb2"/>
    <w:pPr>
      <w:tabs>
        <w:tab w:val="clear" w:pos="708"/>
        <w:tab w:val="left" w:pos="294" w:leader="none"/>
        <w:tab w:val="left" w:pos="1440" w:leader="none"/>
      </w:tabs>
      <w:suppressAutoHyphens w:val="true"/>
      <w:spacing w:before="120" w:after="0"/>
      <w:ind w:firstLine="720"/>
      <w:jc w:val="both"/>
    </w:pPr>
    <w:rPr>
      <w:sz w:val="22"/>
    </w:rPr>
  </w:style>
  <w:style w:type="paragraph" w:styleId="BodyTextIndent3">
    <w:name w:val="Body Text Indent 3"/>
    <w:basedOn w:val="Normal"/>
    <w:link w:val="33"/>
    <w:qFormat/>
    <w:rsid w:val="004a4eb2"/>
    <w:pPr>
      <w:tabs>
        <w:tab w:val="clear" w:pos="708"/>
        <w:tab w:val="left" w:pos="1260" w:leader="none"/>
      </w:tabs>
      <w:spacing w:before="120" w:after="0"/>
      <w:ind w:left="720" w:hanging="0"/>
      <w:jc w:val="both"/>
    </w:pPr>
    <w:rPr>
      <w:sz w:val="28"/>
    </w:rPr>
  </w:style>
  <w:style w:type="paragraph" w:styleId="BodyText2">
    <w:name w:val="Body Text 2"/>
    <w:basedOn w:val="Normal"/>
    <w:link w:val="23"/>
    <w:qFormat/>
    <w:rsid w:val="004a4eb2"/>
    <w:pPr>
      <w:tabs>
        <w:tab w:val="clear" w:pos="708"/>
        <w:tab w:val="left" w:pos="1260" w:leader="none"/>
      </w:tabs>
      <w:spacing w:before="120" w:after="0"/>
      <w:jc w:val="both"/>
    </w:pPr>
    <w:rPr>
      <w:sz w:val="28"/>
    </w:rPr>
  </w:style>
  <w:style w:type="paragraph" w:styleId="ConsPlusTitle" w:customStyle="1">
    <w:name w:val="ConsPlusTitle"/>
    <w:qFormat/>
    <w:rsid w:val="004a4eb2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ru-RU" w:bidi="ar-SA"/>
    </w:rPr>
  </w:style>
  <w:style w:type="paragraph" w:styleId="ConsPlusNonformat" w:customStyle="1">
    <w:name w:val="ConsPlusNonformat"/>
    <w:uiPriority w:val="99"/>
    <w:qFormat/>
    <w:rsid w:val="004a4eb2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Style29" w:customStyle="1">
    <w:name w:val="Прижатый влево"/>
    <w:basedOn w:val="Normal"/>
    <w:next w:val="Normal"/>
    <w:uiPriority w:val="99"/>
    <w:qFormat/>
    <w:rsid w:val="004a4eb2"/>
    <w:pPr>
      <w:widowControl w:val="false"/>
    </w:pPr>
    <w:rPr>
      <w:rFonts w:ascii="Arial" w:hAnsi="Arial" w:cs="Arial"/>
      <w:sz w:val="26"/>
      <w:szCs w:val="26"/>
    </w:rPr>
  </w:style>
  <w:style w:type="paragraph" w:styleId="Style30" w:customStyle="1">
    <w:name w:val="Таблицы (моноширинный)"/>
    <w:basedOn w:val="Normal"/>
    <w:next w:val="Normal"/>
    <w:uiPriority w:val="99"/>
    <w:qFormat/>
    <w:rsid w:val="004a4eb2"/>
    <w:pPr>
      <w:widowControl w:val="false"/>
    </w:pPr>
    <w:rPr>
      <w:rFonts w:ascii="Courier New" w:hAnsi="Courier New" w:cs="Courier New"/>
      <w:sz w:val="22"/>
      <w:szCs w:val="22"/>
    </w:rPr>
  </w:style>
  <w:style w:type="paragraph" w:styleId="Default" w:customStyle="1">
    <w:name w:val="Default"/>
    <w:qFormat/>
    <w:rsid w:val="00c30f5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000000"/>
      <w:kern w:val="0"/>
      <w:sz w:val="24"/>
      <w:szCs w:val="24"/>
      <w:lang w:val="ru-RU" w:eastAsia="ru-RU" w:bidi="ar-SA"/>
    </w:rPr>
  </w:style>
  <w:style w:type="paragraph" w:styleId="Style32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59"/>
    <w:rsid w:val="00074d9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mailto:dep-mp@tomsk.gov.ru" TargetMode="External"/><Relationship Id="rId4" Type="http://schemas.openxmlformats.org/officeDocument/2006/relationships/hyperlink" Target="consultantplus://offline/ref=376C1C4FD3C3756355AB5DF7556CD6ADEC9CB781985C2F5A470A52DC58hEV0I" TargetMode="External"/><Relationship Id="rId5" Type="http://schemas.openxmlformats.org/officeDocument/2006/relationships/hyperlink" Target="consultantplus://offline/ref=964650E9E74EA059093E7472BB3A2B5B7BE575D4FB896FDD4731C39A14E5l6I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3070F-85E6-4F8A-ACDD-747F2877C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Application>LibreOffice/7.5.6.2$Linux_X86_64 LibreOffice_project/50$Build-2</Application>
  <AppVersion>15.0000</AppVersion>
  <Pages>17</Pages>
  <Words>3947</Words>
  <Characters>31675</Characters>
  <CharactersWithSpaces>35864</CharactersWithSpaces>
  <Paragraphs>256</Paragraphs>
  <Company>OEM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2018-05-23T07:35:00Z</dcterms:created>
  <dc:creator>KNB</dc:creator>
  <dc:description/>
  <dc:language>ru-RU</dc:language>
  <cp:lastModifiedBy/>
  <cp:lastPrinted>2024-08-23T03:15:00Z</cp:lastPrinted>
  <dcterms:modified xsi:type="dcterms:W3CDTF">2024-08-23T16:41:53Z</dcterms:modified>
  <cp:revision>16</cp:revision>
  <dc:subject/>
  <dc:title>АДМИНИСТРАТИВНЫЙ РЕГЛАМЕНТ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