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ConsPlusNormal"/>
        <w:jc w:val="center"/>
        <w:rPr>
          <w:rFonts w:ascii="PT Astra Serif" w:hAnsi="PT Astra Serif" w:cs="PT Astra Serif"/>
          <w:b/>
          <w:bCs/>
          <w:color w:val="000000"/>
          <w:sz w:val="12"/>
          <w:szCs w:val="12"/>
        </w:rPr>
      </w:pPr>
      <w:r>
        <w:rPr>
          <w:rFonts w:cs="PT Astra Serif" w:ascii="PT Astra Serif" w:hAnsi="PT Astra Serif"/>
          <w:b/>
          <w:bCs/>
          <w:color w:val="000000"/>
          <w:sz w:val="24"/>
          <w:szCs w:val="24"/>
        </w:rPr>
        <w:t>Должностной регламент государственного гражданского служащего Томской области</w:t>
      </w:r>
    </w:p>
    <w:p>
      <w:pPr>
        <w:pStyle w:val="ConsPlusNormal"/>
        <w:numPr>
          <w:ilvl w:val="0"/>
          <w:numId w:val="0"/>
        </w:numPr>
        <w:ind w:hanging="0" w:left="0"/>
        <w:jc w:val="center"/>
        <w:outlineLvl w:val="1"/>
        <w:rPr>
          <w:rFonts w:ascii="PT Astra Serif" w:hAnsi="PT Astra Serif"/>
        </w:rPr>
      </w:pPr>
      <w:r>
        <w:rPr>
          <w:rFonts w:ascii="PT Astra Serif" w:hAnsi="PT Astra Serif"/>
        </w:rPr>
      </w:r>
    </w:p>
    <w:p>
      <w:pPr>
        <w:pStyle w:val="ConsPlusNormal"/>
        <w:numPr>
          <w:ilvl w:val="0"/>
          <w:numId w:val="0"/>
        </w:numPr>
        <w:ind w:hanging="0" w:left="0"/>
        <w:jc w:val="center"/>
        <w:outlineLvl w:val="1"/>
        <w:rPr>
          <w:rFonts w:ascii="PT Astra Serif" w:hAnsi="PT Astra Serif"/>
        </w:rPr>
      </w:pPr>
      <w:r>
        <w:rPr>
          <w:rFonts w:cs="PT Astra Serif" w:ascii="PT Astra Serif" w:hAnsi="PT Astra Serif"/>
        </w:rPr>
        <w:t>III. Должностные обязанности, права и ответственность гражданского служащего</w:t>
      </w:r>
    </w:p>
    <w:p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cs="PT Astra Serif" w:ascii="PT Astra Serif" w:hAnsi="PT Astra Serif"/>
        </w:rPr>
        <w:t xml:space="preserve">8. Основные права и обязанности </w:t>
      </w:r>
      <w:r>
        <w:rPr>
          <w:rFonts w:cs="PT Astra Serif" w:ascii="PT Astra Serif" w:hAnsi="PT Astra Serif"/>
          <w:u w:val="single"/>
        </w:rPr>
        <w:t>главного специалиста комитета бухгалтерии</w:t>
      </w:r>
      <w:r>
        <w:rPr>
          <w:rFonts w:cs="PT Astra Serif" w:ascii="PT Astra Serif" w:hAnsi="PT Astra Serif"/>
        </w:rPr>
        <w:t>, а также ограничения, запреты и требования к служебному поведению, установлены статьями 14 - 18 Федерального закона от 27 июля 2004 г. № 79-ФЗ</w:t>
      </w:r>
      <w:r>
        <w:rPr>
          <w:rFonts w:eastAsia="PT Astra Serif" w:cs="PT Astra Serif" w:ascii="PT Astra Serif" w:hAnsi="PT Astra Serif"/>
          <w:sz w:val="28"/>
          <w:szCs w:val="28"/>
        </w:rPr>
        <w:t xml:space="preserve"> </w:t>
      </w:r>
      <w:r>
        <w:rPr>
          <w:rFonts w:cs="PT Astra Serif" w:ascii="PT Astra Serif" w:hAnsi="PT Astra Serif"/>
        </w:rPr>
        <w:t>«О государственной гражданской службе Российской Федерации».</w:t>
      </w:r>
    </w:p>
    <w:p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</w:r>
    </w:p>
    <w:p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cs="PT Astra Serif" w:ascii="PT Astra Serif" w:hAnsi="PT Astra Serif"/>
        </w:rPr>
        <w:t xml:space="preserve">9. В целях реализации задач и функций, возложенных на </w:t>
      </w:r>
      <w:r>
        <w:rPr>
          <w:rFonts w:cs="PT Astra Serif" w:ascii="PT Astra Serif" w:hAnsi="PT Astra Serif"/>
          <w:u w:val="single"/>
        </w:rPr>
        <w:t>комитет бухгалтерии</w:t>
      </w:r>
      <w:r>
        <w:rPr>
          <w:rFonts w:cs="PT Astra Serif" w:ascii="PT Astra Serif" w:hAnsi="PT Astra Serif"/>
        </w:rPr>
        <w:t xml:space="preserve">, </w:t>
      </w:r>
      <w:r>
        <w:rPr>
          <w:rFonts w:cs="PT Astra Serif" w:ascii="PT Astra Serif" w:hAnsi="PT Astra Serif"/>
          <w:u w:val="single"/>
        </w:rPr>
        <w:t>главный специалист</w:t>
      </w:r>
      <w:r>
        <w:rPr>
          <w:rFonts w:cs="PT Astra Serif" w:ascii="PT Astra Serif" w:hAnsi="PT Astra Serif"/>
        </w:rPr>
        <w:t xml:space="preserve"> обязан:</w:t>
      </w:r>
    </w:p>
    <w:p>
      <w:pPr>
        <w:pStyle w:val="ConsPlusNormal"/>
        <w:jc w:val="both"/>
        <w:rPr>
          <w:rFonts w:ascii="PT Astra Serif" w:hAnsi="PT Astra Serif"/>
        </w:rPr>
      </w:pPr>
      <w:r>
        <w:rPr>
          <w:rFonts w:cs="PT Astra Serif" w:ascii="PT Astra Serif" w:hAnsi="PT Astra Serif"/>
        </w:rPr>
        <w:tab/>
        <w:t>1) ежедневно оформлять платежные документы, отслеживать этапы прохождения документов в системе электронных расчетов через Департамент финансов Томской области и Управление Федерального казначейства по Томской области;</w:t>
      </w:r>
    </w:p>
    <w:p>
      <w:pPr>
        <w:pStyle w:val="ConsPlusNormal"/>
        <w:jc w:val="both"/>
        <w:rPr>
          <w:rFonts w:ascii="PT Astra Serif" w:hAnsi="PT Astra Serif"/>
        </w:rPr>
      </w:pPr>
      <w:r>
        <w:rPr>
          <w:rFonts w:cs="PT Astra Serif" w:ascii="PT Astra Serif" w:hAnsi="PT Astra Serif"/>
        </w:rPr>
        <w:tab/>
        <w:t>2) осуществлять контроль за выданными в подотчет денежными средствами, принимать к учету авансовые отчеты по их использованию, вести аналитический учет в регистрах бюджетного учета;</w:t>
      </w:r>
    </w:p>
    <w:p>
      <w:pPr>
        <w:pStyle w:val="ConsPlusNormal"/>
        <w:jc w:val="both"/>
        <w:rPr>
          <w:rFonts w:ascii="PT Astra Serif" w:hAnsi="PT Astra Serif"/>
        </w:rPr>
      </w:pPr>
      <w:r>
        <w:rPr>
          <w:rFonts w:cs="PT Astra Serif" w:ascii="PT Astra Serif" w:hAnsi="PT Astra Serif"/>
        </w:rPr>
        <w:tab/>
        <w:t>3) ежедневно осуществлять прием и контроль первичной документации по учету основных средств, товарно-материальных ценностей, денежных документов, вести аналитический учет в регистрах бюджетного учета;</w:t>
      </w:r>
    </w:p>
    <w:p>
      <w:pPr>
        <w:pStyle w:val="ConsPlusNormal"/>
        <w:jc w:val="both"/>
        <w:rPr>
          <w:rFonts w:ascii="PT Astra Serif" w:hAnsi="PT Astra Serif"/>
        </w:rPr>
      </w:pPr>
      <w:r>
        <w:rPr>
          <w:rFonts w:cs="PT Astra Serif" w:ascii="PT Astra Serif" w:hAnsi="PT Astra Serif"/>
        </w:rPr>
        <w:tab/>
        <w:t>4) ежемесячно осуществлять контроль за использованием выданных доверенностей на получение материальных и других ценностей;</w:t>
      </w:r>
    </w:p>
    <w:p>
      <w:pPr>
        <w:pStyle w:val="ConsPlusNormal"/>
        <w:jc w:val="both"/>
        <w:rPr>
          <w:rFonts w:ascii="PT Astra Serif" w:hAnsi="PT Astra Serif"/>
        </w:rPr>
      </w:pPr>
      <w:r>
        <w:rPr>
          <w:rFonts w:cs="PT Astra Serif" w:ascii="PT Astra Serif" w:hAnsi="PT Astra Serif"/>
        </w:rPr>
        <w:tab/>
        <w:t>5) не реже 1 раза в год проводить инструктаж ответственных лиц по вопросам учета и сохранности ценностей, находящихся на их ответственном хранении;</w:t>
      </w:r>
    </w:p>
    <w:p>
      <w:pPr>
        <w:pStyle w:val="ConsPlusNormal"/>
        <w:jc w:val="both"/>
        <w:rPr>
          <w:rFonts w:ascii="PT Astra Serif" w:hAnsi="PT Astra Serif"/>
        </w:rPr>
      </w:pPr>
      <w:r>
        <w:rPr>
          <w:rFonts w:cs="PT Astra Serif" w:ascii="PT Astra Serif" w:hAnsi="PT Astra Serif"/>
        </w:rPr>
        <w:tab/>
        <w:t>6) обеспечивать проведение инвентаризации имущества, отвечать за своевременное и правильное отражение результатов инвентаризации в учете;</w:t>
      </w:r>
    </w:p>
    <w:p>
      <w:pPr>
        <w:pStyle w:val="ConsPlusNormal"/>
        <w:jc w:val="both"/>
        <w:rPr>
          <w:rFonts w:ascii="PT Astra Serif" w:hAnsi="PT Astra Serif"/>
        </w:rPr>
      </w:pPr>
      <w:r>
        <w:rPr>
          <w:rFonts w:cs="PT Astra Serif" w:ascii="PT Astra Serif" w:hAnsi="PT Astra Serif"/>
        </w:rPr>
        <w:tab/>
        <w:t>7) согласно графику принимать участие в проведении выездных проверок по учету и обеспечению сохранности материальных ценностей в структурных подразделениях Департамента;</w:t>
      </w:r>
    </w:p>
    <w:p>
      <w:pPr>
        <w:pStyle w:val="ConsPlusNormal"/>
        <w:jc w:val="both"/>
        <w:rPr>
          <w:rFonts w:ascii="PT Astra Serif" w:hAnsi="PT Astra Serif"/>
        </w:rPr>
      </w:pPr>
      <w:r>
        <w:rPr>
          <w:rFonts w:cs="PT Astra Serif" w:ascii="PT Astra Serif" w:hAnsi="PT Astra Serif"/>
        </w:rPr>
        <w:tab/>
        <w:t>8) ежегодно оформлять карту областного имущества и представлять пакет документов по его движению в Департамент по управлению государственной собственностью Томской области;</w:t>
      </w:r>
    </w:p>
    <w:p>
      <w:pPr>
        <w:pStyle w:val="ConsPlusNormal"/>
        <w:jc w:val="both"/>
        <w:rPr>
          <w:rFonts w:ascii="PT Astra Serif" w:hAnsi="PT Astra Serif"/>
        </w:rPr>
      </w:pPr>
      <w:r>
        <w:rPr>
          <w:rFonts w:cs="PT Astra Serif" w:ascii="PT Astra Serif" w:hAnsi="PT Astra Serif"/>
        </w:rPr>
        <w:tab/>
        <w:t>9) составлять отчеты для представления в органы государственной статистики и налоговые органы согласно утвержденным срокам и подготавливать данные для составления баланса и оперативных сводных отчетов об использовании бюджетных средств;</w:t>
      </w:r>
    </w:p>
    <w:p>
      <w:pPr>
        <w:pStyle w:val="ConsPlusNormal"/>
        <w:jc w:val="both"/>
        <w:rPr>
          <w:rFonts w:ascii="PT Astra Serif" w:hAnsi="PT Astra Serif"/>
        </w:rPr>
      </w:pPr>
      <w:r>
        <w:rPr>
          <w:rFonts w:cs="PT Astra Serif" w:ascii="PT Astra Serif" w:hAnsi="PT Astra Serif"/>
        </w:rPr>
        <w:tab/>
        <w:t>10) принимать участие в разработке и осуществлении мероприятий, направленных на соблюдение финансовой дисциплины и рациональное использование ресурсов;</w:t>
      </w:r>
    </w:p>
    <w:p>
      <w:pPr>
        <w:pStyle w:val="ConsPlusNormal"/>
        <w:jc w:val="both"/>
        <w:rPr>
          <w:rFonts w:ascii="PT Astra Serif" w:hAnsi="PT Astra Serif"/>
        </w:rPr>
      </w:pPr>
      <w:r>
        <w:rPr>
          <w:rFonts w:cs="PT Astra Serif" w:ascii="PT Astra Serif" w:hAnsi="PT Astra Serif"/>
        </w:rPr>
        <w:tab/>
        <w:t>11) принимать участие в проведении экономического анализа финансово-хозяйственной деятельности Департамента по данным бюджетного учета и отчетности в целях выявления внутрихозяйственных резервов, осуществления режима экономии и реализации мероприятий по совершенствованию документооборота;</w:t>
      </w:r>
    </w:p>
    <w:p>
      <w:pPr>
        <w:pStyle w:val="ConsPlusNormal"/>
        <w:jc w:val="both"/>
        <w:rPr>
          <w:rFonts w:ascii="PT Astra Serif" w:hAnsi="PT Astra Serif"/>
        </w:rPr>
      </w:pPr>
      <w:r>
        <w:rPr>
          <w:rFonts w:cs="PT Astra Serif" w:ascii="PT Astra Serif" w:hAnsi="PT Astra Serif"/>
        </w:rPr>
        <w:tab/>
        <w:t>12) осуществлять внутренний контроль первичных документов, регистров учета, отражения в учете фактов хозяйственной жизни;</w:t>
      </w:r>
    </w:p>
    <w:p>
      <w:pPr>
        <w:pStyle w:val="ConsPlusNormal"/>
        <w:jc w:val="both"/>
        <w:rPr>
          <w:rFonts w:ascii="PT Astra Serif" w:hAnsi="PT Astra Serif"/>
        </w:rPr>
      </w:pPr>
      <w:r>
        <w:rPr>
          <w:rFonts w:cs="PT Astra Serif" w:ascii="PT Astra Serif" w:hAnsi="PT Astra Serif"/>
        </w:rPr>
        <w:tab/>
        <w:t>13) выполнять работы по формированию, ведению и хранению базы данных бухгалтерской информации;</w:t>
      </w:r>
    </w:p>
    <w:p>
      <w:pPr>
        <w:pStyle w:val="ConsPlusNormal"/>
        <w:jc w:val="both"/>
        <w:rPr>
          <w:rFonts w:ascii="PT Astra Serif" w:hAnsi="PT Astra Serif"/>
        </w:rPr>
      </w:pPr>
      <w:r>
        <w:rPr>
          <w:rFonts w:cs="PT Astra Serif" w:ascii="PT Astra Serif" w:hAnsi="PT Astra Serif"/>
        </w:rPr>
        <w:tab/>
        <w:t>14) соблюдать конфиденциальность персональных данных сотрудников Департамента;</w:t>
      </w:r>
    </w:p>
    <w:p>
      <w:pPr>
        <w:pStyle w:val="ConsPlusNormal"/>
        <w:jc w:val="both"/>
        <w:rPr>
          <w:rFonts w:ascii="PT Astra Serif" w:hAnsi="PT Astra Serif"/>
        </w:rPr>
      </w:pPr>
      <w:r>
        <w:rPr>
          <w:rFonts w:cs="PT Astra Serif" w:ascii="PT Astra Serif" w:hAnsi="PT Astra Serif"/>
        </w:rPr>
        <w:tab/>
        <w:t>15) 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актами.</w:t>
      </w:r>
    </w:p>
    <w:p>
      <w:pPr>
        <w:pStyle w:val="ConsPlusNormal"/>
        <w:jc w:val="both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  <w:tab/>
        <w:t>10. В целях исполнения возложенных должностных обязанностей главный специалист имеет право:</w:t>
      </w:r>
    </w:p>
    <w:p>
      <w:pPr>
        <w:pStyle w:val="Normal"/>
        <w:ind w:firstLine="72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1) работать с другими структурными подразделениями Департамента и иными органами власти по исполнению возложенных на гражданского служащего функций;</w:t>
      </w:r>
    </w:p>
    <w:p>
      <w:pPr>
        <w:pStyle w:val="Normal"/>
        <w:ind w:firstLine="72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2) запрашивать и получать в установленном порядке информацию от органов государственной власти, органов местного самоуправления и организаций, их должностных лиц, необходимую для исполнения возложенных на гражданского служащего функций;</w:t>
      </w:r>
    </w:p>
    <w:p>
      <w:pPr>
        <w:pStyle w:val="Normal"/>
        <w:ind w:firstLine="720"/>
        <w:jc w:val="both"/>
        <w:rPr>
          <w:rFonts w:ascii="PT Astra Serif" w:hAnsi="PT Astra Serif"/>
        </w:rPr>
      </w:pPr>
      <w:r>
        <w:rPr>
          <w:rFonts w:ascii="PT Astra Serif" w:hAnsi="PT Astra Serif"/>
          <w:sz w:val="24"/>
          <w:szCs w:val="24"/>
        </w:rPr>
        <w:t>3) докладывать непосредственному руководителю о выявленных недостатках в работе;</w:t>
      </w:r>
    </w:p>
    <w:p>
      <w:pPr>
        <w:pStyle w:val="Normal"/>
        <w:ind w:firstLine="720"/>
        <w:jc w:val="both"/>
        <w:rPr>
          <w:rFonts w:ascii="PT Astra Serif" w:hAnsi="PT Astra Serif"/>
        </w:rPr>
      </w:pPr>
      <w:r>
        <w:rPr>
          <w:rFonts w:ascii="PT Astra Serif" w:hAnsi="PT Astra Serif"/>
          <w:sz w:val="24"/>
          <w:szCs w:val="24"/>
        </w:rPr>
        <w:t>4) вносить предложения непосредственному руководителю по совершенствованию работы, связанной с предусмотренными данным регламентом обязанностями;</w:t>
      </w:r>
    </w:p>
    <w:p>
      <w:pPr>
        <w:pStyle w:val="Normal"/>
        <w:ind w:firstLine="720"/>
        <w:jc w:val="both"/>
        <w:rPr>
          <w:rFonts w:ascii="PT Astra Serif" w:hAnsi="PT Astra Serif"/>
        </w:rPr>
      </w:pPr>
      <w:r>
        <w:rPr>
          <w:rFonts w:ascii="PT Astra Serif" w:hAnsi="PT Astra Serif"/>
          <w:sz w:val="24"/>
          <w:szCs w:val="24"/>
        </w:rPr>
        <w:t>5) получать объективную оценку своей деятельности непосредственно от непосредственного руководителя;</w:t>
      </w:r>
    </w:p>
    <w:p>
      <w:pPr>
        <w:pStyle w:val="Normal"/>
        <w:ind w:firstLine="720"/>
        <w:jc w:val="both"/>
        <w:rPr>
          <w:rFonts w:ascii="PT Astra Serif" w:hAnsi="PT Astra Serif"/>
        </w:rPr>
      </w:pPr>
      <w:r>
        <w:rPr>
          <w:rFonts w:ascii="PT Astra Serif" w:hAnsi="PT Astra Serif"/>
          <w:sz w:val="24"/>
          <w:szCs w:val="24"/>
        </w:rPr>
        <w:t>6) получать дополнительное профессиональное образование за счет средств областного бюджета.</w:t>
      </w:r>
    </w:p>
    <w:p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cs="PT Astra Serif" w:ascii="PT Astra Serif" w:hAnsi="PT Astra Serif"/>
        </w:rPr>
        <w:t>11. Главный специалист осуществляет иные права и исполняет обязанности, предусмотренные законодательством Российской Федерации, приказами, распоряжениями и поручениями непосредственного руководителя.</w:t>
      </w:r>
    </w:p>
    <w:p>
      <w:pPr>
        <w:pStyle w:val="ConsPlusNormal"/>
        <w:ind w:firstLine="567"/>
        <w:jc w:val="both"/>
        <w:rPr>
          <w:rFonts w:ascii="PT Astra Serif" w:hAnsi="PT Astra Serif"/>
        </w:rPr>
      </w:pPr>
      <w:r>
        <w:rPr>
          <w:rFonts w:cs="PT Astra Serif" w:ascii="PT Astra Serif" w:hAnsi="PT Astra Serif"/>
        </w:rPr>
        <w:t>12. Главный специалист</w:t>
      </w:r>
      <w:r>
        <w:rPr>
          <w:rFonts w:eastAsia="PT Astra Serif" w:cs="PT Astra Serif" w:ascii="PT Astra Serif" w:hAnsi="PT Astra Serif"/>
          <w:sz w:val="28"/>
          <w:szCs w:val="28"/>
        </w:rPr>
        <w:t xml:space="preserve"> </w:t>
      </w:r>
      <w:r>
        <w:rPr>
          <w:rFonts w:cs="PT Astra Serif" w:ascii="PT Astra Serif" w:hAnsi="PT Astra Serif"/>
        </w:rPr>
        <w:t xml:space="preserve">за неисполнение или ненадлежащее исполнение должностных обязанностей, несоблюдение ограничений и запретов, </w:t>
      </w:r>
      <w:r>
        <w:rPr>
          <w:rFonts w:cs="PT Astra Serif" w:ascii="PT Astra Serif" w:hAnsi="PT Astra Serif"/>
          <w:color w:val="000000"/>
        </w:rPr>
        <w:t>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p>
      <w:pPr>
        <w:pStyle w:val="ConsPlusNormal"/>
        <w:jc w:val="both"/>
        <w:rPr>
          <w:rFonts w:ascii="PT Astra Serif" w:hAnsi="PT Astra Serif" w:cs="PT Astra Serif"/>
          <w:color w:val="000000"/>
        </w:rPr>
      </w:pPr>
      <w:r>
        <w:rPr>
          <w:rFonts w:cs="PT Astra Serif" w:ascii="PT Astra Serif" w:hAnsi="PT Astra Serif"/>
          <w:color w:val="000000"/>
        </w:rPr>
      </w:r>
    </w:p>
    <w:p>
      <w:pPr>
        <w:pStyle w:val="ConsPlusNormal"/>
        <w:numPr>
          <w:ilvl w:val="0"/>
          <w:numId w:val="0"/>
        </w:numPr>
        <w:ind w:hanging="0" w:left="0"/>
        <w:jc w:val="center"/>
        <w:outlineLvl w:val="1"/>
        <w:rPr>
          <w:rFonts w:ascii="PT Astra Serif" w:hAnsi="PT Astra Serif"/>
        </w:rPr>
      </w:pPr>
      <w:r>
        <w:rPr>
          <w:rFonts w:ascii="PT Astra Serif" w:hAnsi="PT Astra Serif"/>
        </w:rPr>
      </w:r>
    </w:p>
    <w:p>
      <w:pPr>
        <w:pStyle w:val="ConsPlusNormal"/>
        <w:numPr>
          <w:ilvl w:val="0"/>
          <w:numId w:val="0"/>
        </w:numPr>
        <w:ind w:hanging="0" w:left="0"/>
        <w:jc w:val="center"/>
        <w:outlineLvl w:val="1"/>
        <w:rPr>
          <w:rFonts w:ascii="PT Astra Serif" w:hAnsi="PT Astra Serif"/>
        </w:rPr>
      </w:pPr>
      <w:r>
        <w:rPr>
          <w:rFonts w:cs="PT Astra Serif" w:ascii="PT Astra Serif" w:hAnsi="PT Astra Serif"/>
        </w:rPr>
        <w:t>IX. Показатели эффективности и результативности</w:t>
      </w:r>
    </w:p>
    <w:p>
      <w:pPr>
        <w:pStyle w:val="ConsPlusNormal"/>
        <w:jc w:val="center"/>
        <w:rPr>
          <w:rFonts w:ascii="PT Astra Serif" w:hAnsi="PT Astra Serif"/>
        </w:rPr>
      </w:pPr>
      <w:r>
        <w:rPr>
          <w:rFonts w:cs="PT Astra Serif" w:ascii="PT Astra Serif" w:hAnsi="PT Astra Serif"/>
        </w:rPr>
        <w:t>профессиональной служебной деятельности гражданского служащего</w:t>
      </w:r>
    </w:p>
    <w:p>
      <w:pPr>
        <w:pStyle w:val="ConsPlusNormal"/>
        <w:ind w:firstLine="567"/>
        <w:jc w:val="both"/>
        <w:rPr>
          <w:rFonts w:ascii="PT Astra Serif" w:hAnsi="PT Astra Serif"/>
        </w:rPr>
      </w:pPr>
      <w:r>
        <w:rPr>
          <w:rFonts w:cs="PT Astra Serif" w:ascii="PT Astra Serif" w:hAnsi="PT Astra Serif"/>
        </w:rPr>
        <w:t>20. Эффективность и результативность профессиональной служебной деятельности главного специалиста оценивается по следующим показателям:</w:t>
      </w:r>
    </w:p>
    <w:p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1) своевременное исполнения служебных обязанностей;</w:t>
      </w:r>
    </w:p>
    <w:p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2) отсутствие нарушений действующего законодательства о бюджетном учете;</w:t>
      </w:r>
    </w:p>
    <w:p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3) рациональное и экономное использование бюджетных средств;</w:t>
      </w:r>
    </w:p>
    <w:p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4) своевременность предоставления отчетов в органы государственной статистики и налоговые органы;</w:t>
      </w:r>
    </w:p>
    <w:p>
      <w:pPr>
        <w:pStyle w:val="ConsPlusNormal"/>
        <w:ind w:firstLine="540"/>
        <w:jc w:val="both"/>
        <w:rPr>
          <w:rFonts w:ascii="PT Astra Serif" w:hAnsi="PT Astra Serif" w:cs="PT Astra Serif"/>
        </w:rPr>
      </w:pPr>
      <w:r>
        <w:rPr>
          <w:rFonts w:ascii="PT Astra Serif" w:hAnsi="PT Astra Serif"/>
        </w:rPr>
        <w:t>5) отсутствие искажения учетной информации о деятельности Департамента, его имущественном положении.</w:t>
      </w:r>
    </w:p>
    <w:p>
      <w:pPr>
        <w:pStyle w:val="ConsPlusNormal"/>
        <w:ind w:firstLine="540"/>
        <w:jc w:val="both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ConsPlusNormal"/>
        <w:jc w:val="both"/>
        <w:rPr>
          <w:rFonts w:ascii="PT Astra Serif" w:hAnsi="PT Astra Serif"/>
        </w:rPr>
      </w:pPr>
      <w:r>
        <w:rPr>
          <w:rFonts w:ascii="PT Astra Serif" w:hAnsi="PT Astra Serif"/>
        </w:rPr>
      </w:r>
    </w:p>
    <w:sectPr>
      <w:footerReference w:type="even" r:id="rId2"/>
      <w:footerReference w:type="default" r:id="rId3"/>
      <w:footerReference w:type="first" r:id="rId4"/>
      <w:type w:val="nextPage"/>
      <w:pgSz w:w="11906" w:h="16838"/>
      <w:pgMar w:left="1418" w:right="738" w:gutter="0" w:header="0" w:top="720" w:footer="567" w:bottom="709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  <w:font w:name="PT Astra Serif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/>
      <w:rPr>
        <w:sz w:val="18"/>
      </w:rPr>
    </w:pPr>
    <w:r>
      <w:rPr>
        <w:sz w:val="18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overflowPunct w:val="true"/>
      <w:bidi w:val="0"/>
      <w:spacing w:before="0" w:after="0"/>
      <w:ind w:firstLine="709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0"/>
      <w:lang w:val="ru-RU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sz w:val="28"/>
      <w:szCs w:val="28"/>
    </w:rPr>
  </w:style>
  <w:style w:type="character" w:styleId="Pagenumber">
    <w:name w:val="page number"/>
    <w:basedOn w:val="DefaultParagraphFont"/>
    <w:qFormat/>
    <w:rPr/>
  </w:style>
  <w:style w:type="character" w:styleId="Hyperlink">
    <w:name w:val="Hyperlink"/>
    <w:rPr>
      <w:rFonts w:cs="Times New Roman"/>
      <w:color w:val="0000FF"/>
      <w:u w:val="single"/>
    </w:rPr>
  </w:style>
  <w:style w:type="character" w:styleId="3" w:customStyle="1">
    <w:name w:val="Основной текст (3)_"/>
    <w:qFormat/>
    <w:rPr>
      <w:sz w:val="19"/>
      <w:szCs w:val="19"/>
      <w:shd w:fill="FFFFFF" w:val="clear"/>
    </w:rPr>
  </w:style>
  <w:style w:type="character" w:styleId="33" w:customStyle="1">
    <w:name w:val="Основной текст (3)3"/>
    <w:qFormat/>
    <w:rPr>
      <w:rFonts w:ascii="Times New Roman" w:hAnsi="Times New Roman" w:cs="Times New Roman"/>
      <w:spacing w:val="0"/>
      <w:sz w:val="19"/>
      <w:szCs w:val="19"/>
      <w:shd w:fill="FFFFFF" w:val="clear"/>
    </w:rPr>
  </w:style>
  <w:style w:type="character" w:styleId="Style14" w:customStyle="1">
    <w:name w:val="Текст выноски Знак"/>
    <w:qFormat/>
    <w:rPr>
      <w:rFonts w:ascii="Tahoma" w:hAnsi="Tahoma" w:cs="Tahoma"/>
      <w:sz w:val="16"/>
      <w:szCs w:val="16"/>
    </w:rPr>
  </w:style>
  <w:style w:type="character" w:styleId="Style15" w:customStyle="1">
    <w:name w:val="Текст сноски Знак"/>
    <w:basedOn w:val="DefaultParagraphFont"/>
    <w:qFormat/>
    <w:rPr/>
  </w:style>
  <w:style w:type="character" w:styleId="Style16" w:customStyle="1">
    <w:name w:val="Символ сноски"/>
    <w:qFormat/>
    <w:rPr>
      <w:vertAlign w:val="superscript"/>
    </w:rPr>
  </w:style>
  <w:style w:type="character" w:styleId="Style17" w:customStyle="1">
    <w:name w:val="Текст концевой сноски Знак"/>
    <w:basedOn w:val="DefaultParagraphFont"/>
    <w:qFormat/>
    <w:rPr/>
  </w:style>
  <w:style w:type="character" w:styleId="Style18" w:customStyle="1">
    <w:name w:val="Символ концевой сноски"/>
    <w:qFormat/>
    <w:rPr>
      <w:vertAlign w:val="superscript"/>
    </w:rPr>
  </w:style>
  <w:style w:type="character" w:styleId="Match" w:customStyle="1">
    <w:name w:val="match"/>
    <w:basedOn w:val="DefaultParagraphFont"/>
    <w:qFormat/>
    <w:rPr/>
  </w:style>
  <w:style w:type="paragraph" w:styleId="Style19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Arial"/>
      <w:szCs w:val="28"/>
    </w:rPr>
  </w:style>
  <w:style w:type="paragraph" w:styleId="BodyText">
    <w:name w:val="Body Text"/>
    <w:basedOn w:val="Normal"/>
    <w:next w:val="Normal"/>
    <w:pPr>
      <w:ind w:hanging="0"/>
      <w:jc w:val="both"/>
    </w:pPr>
    <w:rPr>
      <w:sz w:val="22"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next w:val="Normal"/>
    <w:qFormat/>
    <w:pPr>
      <w:jc w:val="center"/>
    </w:pPr>
    <w:rPr>
      <w:b/>
    </w:rPr>
  </w:style>
  <w:style w:type="paragraph" w:styleId="Indexheading">
    <w:name w:val="index heading"/>
    <w:basedOn w:val="Normal"/>
    <w:qFormat/>
    <w:pPr>
      <w:suppressLineNumbers/>
    </w:pPr>
    <w:rPr>
      <w:rFonts w:cs="Arial"/>
    </w:rPr>
  </w:style>
  <w:style w:type="paragraph" w:styleId="Style21" w:customStyle="1">
    <w:name w:val="Колонтитул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>
      <w:tabs>
        <w:tab w:val="clear" w:pos="708"/>
        <w:tab w:val="center" w:pos="4153" w:leader="none"/>
        <w:tab w:val="right" w:pos="8306" w:leader="none"/>
      </w:tabs>
      <w:spacing w:before="120" w:after="240"/>
      <w:jc w:val="center"/>
    </w:pPr>
    <w:rPr>
      <w:b/>
      <w:caps/>
    </w:rPr>
  </w:style>
  <w:style w:type="paragraph" w:styleId="Footer">
    <w:name w:val="Footer"/>
    <w:basedOn w:val="Normal"/>
    <w:pPr>
      <w:tabs>
        <w:tab w:val="clear" w:pos="708"/>
        <w:tab w:val="center" w:pos="4153" w:leader="none"/>
        <w:tab w:val="right" w:pos="8306" w:leader="none"/>
      </w:tabs>
    </w:pPr>
    <w:rPr/>
  </w:style>
  <w:style w:type="paragraph" w:styleId="BodyText2">
    <w:name w:val="Body Text 2"/>
    <w:basedOn w:val="Normal"/>
    <w:qFormat/>
    <w:pPr>
      <w:spacing w:before="120" w:after="0"/>
      <w:ind w:hanging="0" w:right="5102"/>
      <w:jc w:val="center"/>
    </w:pPr>
    <w:rPr/>
  </w:style>
  <w:style w:type="paragraph" w:styleId="Style22" w:customStyle="1">
    <w:name w:val="Обращение"/>
    <w:basedOn w:val="Normal"/>
    <w:next w:val="Normal"/>
    <w:qFormat/>
    <w:pPr>
      <w:spacing w:before="240" w:after="120"/>
      <w:ind w:hanging="0"/>
      <w:jc w:val="center"/>
    </w:pPr>
    <w:rPr>
      <w:b/>
    </w:rPr>
  </w:style>
  <w:style w:type="paragraph" w:styleId="Style23" w:customStyle="1">
    <w:name w:val="Адресные реквизиты"/>
    <w:basedOn w:val="BodyText"/>
    <w:next w:val="BodyText"/>
    <w:qFormat/>
    <w:pPr>
      <w:jc w:val="left"/>
    </w:pPr>
    <w:rPr>
      <w:sz w:val="16"/>
    </w:rPr>
  </w:style>
  <w:style w:type="paragraph" w:styleId="Style24" w:customStyle="1">
    <w:name w:val="Адресат"/>
    <w:basedOn w:val="Normal"/>
    <w:qFormat/>
    <w:pPr>
      <w:spacing w:before="120" w:after="0"/>
      <w:ind w:hanging="0"/>
    </w:pPr>
    <w:rPr>
      <w:b/>
    </w:rPr>
  </w:style>
  <w:style w:type="paragraph" w:styleId="BodyText3">
    <w:name w:val="Body Text 3"/>
    <w:basedOn w:val="Normal"/>
    <w:qFormat/>
    <w:pPr>
      <w:tabs>
        <w:tab w:val="clear" w:pos="708"/>
        <w:tab w:val="left" w:pos="7371" w:leader="none"/>
      </w:tabs>
      <w:spacing w:before="120" w:after="0"/>
      <w:ind w:hanging="0"/>
    </w:pPr>
    <w:rPr/>
  </w:style>
  <w:style w:type="paragraph" w:styleId="1" w:customStyle="1">
    <w:name w:val="Знак1 Знак Знак Знак"/>
    <w:basedOn w:val="Normal"/>
    <w:qFormat/>
    <w:pPr>
      <w:ind w:hanging="0"/>
    </w:pPr>
    <w:rPr>
      <w:rFonts w:ascii="Verdana" w:hAnsi="Verdana" w:cs="Verdana"/>
      <w:sz w:val="20"/>
      <w:lang w:val="en-US"/>
    </w:rPr>
  </w:style>
  <w:style w:type="paragraph" w:styleId="Style25" w:customStyle="1">
    <w:name w:val="Исполнитель"/>
    <w:basedOn w:val="Normal"/>
    <w:qFormat/>
    <w:pPr>
      <w:ind w:hanging="0"/>
    </w:pPr>
    <w:rPr>
      <w:b/>
      <w:sz w:val="22"/>
      <w:szCs w:val="22"/>
    </w:rPr>
  </w:style>
  <w:style w:type="paragraph" w:styleId="31" w:customStyle="1">
    <w:name w:val="Основной текст (3)1"/>
    <w:basedOn w:val="Normal"/>
    <w:qFormat/>
    <w:pPr>
      <w:shd w:val="clear" w:color="auto" w:fill="FFFFFF"/>
      <w:spacing w:lineRule="atLeast" w:line="240"/>
      <w:ind w:hanging="0"/>
    </w:pPr>
    <w:rPr>
      <w:sz w:val="19"/>
      <w:szCs w:val="19"/>
    </w:rPr>
  </w:style>
  <w:style w:type="paragraph" w:styleId="ConsPlusNormal" w:customStyle="1">
    <w:name w:val="ConsPlusNormal"/>
    <w:qFormat/>
    <w:pPr>
      <w:widowControl w:val="false"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zh-CN" w:bidi="ar-SA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pPr/>
    <w:rPr>
      <w:sz w:val="20"/>
    </w:rPr>
  </w:style>
  <w:style w:type="paragraph" w:styleId="EndnoteText">
    <w:name w:val="Endnote Text"/>
    <w:basedOn w:val="Normal"/>
    <w:pPr/>
    <w:rPr>
      <w:sz w:val="20"/>
    </w:rPr>
  </w:style>
  <w:style w:type="paragraph" w:styleId="Style26" w:customStyle="1">
    <w:name w:val="Содержимое таблицы"/>
    <w:basedOn w:val="Normal"/>
    <w:qFormat/>
    <w:pPr>
      <w:widowControl w:val="false"/>
      <w:suppressLineNumbers/>
    </w:pPr>
    <w:rPr/>
  </w:style>
  <w:style w:type="paragraph" w:styleId="Style27" w:customStyle="1">
    <w:name w:val="Заголовок таблицы"/>
    <w:basedOn w:val="Style26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oter" Target="foot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3071</TotalTime>
  <Application>LibreOffice/24.2.0.3$Windows_X86_64 LibreOffice_project/da48488a73ddd66ea24cf16bbc4f7b9c08e9bea1</Application>
  <AppVersion>15.0000</AppVersion>
  <Pages>2</Pages>
  <Words>581</Words>
  <Characters>4542</Characters>
  <CharactersWithSpaces>5103</CharactersWithSpaces>
  <Paragraphs>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2022-10-03T13:33:00Z</dcterms:created>
  <dc:creator>mazaeva</dc:creator>
  <dc:description/>
  <dc:language>ru-RU</dc:language>
  <cp:lastModifiedBy/>
  <cp:lastPrinted>2024-03-21T15:45:25Z</cp:lastPrinted>
  <dcterms:modified xsi:type="dcterms:W3CDTF">2024-07-10T12:24:38Z</dcterms:modified>
  <cp:revision>51</cp:revision>
  <dc:subject/>
  <dc:title>Бланк Главы администрации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