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jc w:val="center"/>
        <w:rPr>
          <w:rFonts w:ascii="PT Astra Serif" w:hAnsi="PT Astra Serif" w:cs="PT Astra Serif"/>
          <w:b/>
          <w:bCs/>
          <w:color w:val="000000"/>
          <w:sz w:val="12"/>
          <w:szCs w:val="12"/>
        </w:rPr>
      </w:pPr>
      <w:r>
        <w:rPr>
          <w:rFonts w:cs="PT Astra Serif" w:ascii="PT Astra Serif" w:hAnsi="PT Astra Serif"/>
          <w:b/>
          <w:bCs/>
          <w:color w:val="000000"/>
          <w:sz w:val="24"/>
          <w:szCs w:val="24"/>
        </w:rPr>
        <w:t>Должностной регламент государственного гражданского служащего Томской области</w:t>
      </w:r>
    </w:p>
    <w:p>
      <w:pPr>
        <w:pStyle w:val="ConsPlusNormal"/>
        <w:jc w:val="center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8. Основные права и обязанности г</w:t>
      </w:r>
      <w:r>
        <w:rPr>
          <w:rFonts w:cs="PT Astra Serif" w:ascii="PT Astra Serif" w:hAnsi="PT Astra Serif"/>
          <w:sz w:val="24"/>
          <w:szCs w:val="24"/>
          <w:u w:val="single"/>
        </w:rPr>
        <w:t>лавного специалиста</w:t>
      </w:r>
      <w:r>
        <w:rPr>
          <w:rFonts w:cs="PT Astra Serif" w:ascii="PT Astra Serif" w:hAnsi="PT Astra Serif"/>
          <w:sz w:val="24"/>
          <w:szCs w:val="24"/>
        </w:rPr>
        <w:t>, а также ограничения, запреты и требования к служебному поведению установлены статьями 14 - 18 Федерального закона от 27 июля 2004 г. № 79-ФЗ</w:t>
      </w:r>
      <w:r>
        <w:rPr>
          <w:rFonts w:eastAsia="PT Astra Serif" w:cs="PT Astra Serif" w:ascii="PT Astra Serif" w:hAnsi="PT Astra Serif"/>
          <w:sz w:val="24"/>
          <w:szCs w:val="24"/>
        </w:rPr>
        <w:t xml:space="preserve"> </w:t>
      </w:r>
      <w:r>
        <w:rPr>
          <w:rFonts w:cs="PT Astra Serif" w:ascii="PT Astra Serif" w:hAnsi="PT Astra Serif"/>
          <w:sz w:val="24"/>
          <w:szCs w:val="24"/>
        </w:rPr>
        <w:t>«О государственной гражданской службе Российской Федерации».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  <w:u w:val="single"/>
        </w:rPr>
        <w:t>Отдел</w:t>
      </w:r>
      <w:r>
        <w:rPr>
          <w:rFonts w:cs="PT Astra Serif" w:ascii="PT Astra Serif" w:hAnsi="PT Astra Serif"/>
          <w:color w:val="000000"/>
          <w:sz w:val="24"/>
          <w:szCs w:val="24"/>
          <w:u w:val="single"/>
        </w:rPr>
        <w:t xml:space="preserve"> </w:t>
      </w:r>
      <w:r>
        <w:rPr>
          <w:rFonts w:cs="PT Astra Serif" w:ascii="PT Astra Serif" w:hAnsi="PT Astra Serif"/>
          <w:sz w:val="24"/>
          <w:szCs w:val="24"/>
        </w:rPr>
        <w:t xml:space="preserve">, </w:t>
      </w:r>
      <w:r>
        <w:rPr>
          <w:rFonts w:cs="PT Astra Serif" w:ascii="PT Astra Serif" w:hAnsi="PT Astra Serif"/>
          <w:sz w:val="24"/>
          <w:szCs w:val="24"/>
          <w:u w:val="single"/>
        </w:rPr>
        <w:t>главный специалист</w:t>
      </w:r>
      <w:r>
        <w:rPr>
          <w:rFonts w:cs="PT Astra Serif" w:ascii="PT Astra Serif" w:hAnsi="PT Astra Serif"/>
          <w:sz w:val="24"/>
          <w:szCs w:val="24"/>
        </w:rPr>
        <w:t xml:space="preserve"> обязан:</w:t>
      </w:r>
    </w:p>
    <w:p>
      <w:pPr>
        <w:pStyle w:val="ConsPlusNormal"/>
        <w:widowControl w:val="false"/>
        <w:suppressAutoHyphens w:val="true"/>
        <w:overflowPunct w:val="true"/>
        <w:bidi w:val="0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производить государственную регистрацию всех типов актов гражданского состояния посредством составления в ЕГР ЗАГС соответствующей записи акта гражданского состояния, в том числе, в случаях определенных действующим законодательством, на дому, в медицинской или иной организации и в иных местах;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вести прием граждан;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принимать заявления о государственной регистрации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предоставлять сведения о государственной регистрации актов гражданского состоянии в порядке, предусмотренном действующем законодательством;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5) оформлять материалы по перемене имени и внесению исправлений или изменений в записи актов гражданского состояния в установленные законом сроки;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6) вносить исправления и изменения в первые экземпляры записей актов гражданского состояния, а также производить предусмотренные законом отметки, и выдавать повторные свидетельства о государственной регистрации акта гражданского состояния или иные документы, подтверждающие факт государственной регистрации акта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7) направлять извещения о внесении исправлений и изменений по месту хранения вторых экземпляров записей актов гражданского состояния в течение трех дней после исполнения;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8) производить восстановление записей актов гражданского состояния в соответствии с действующем законодательством;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9) выдавать повторные свидетельства о государственной регистрации актов гражданского состояния, оформлять документы, подтверждающие факт государственной регистрации акта гражданского состояния, а в случае отсутствия первичной или восстановленной записи акта гражданского состояния – сведения об этом;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10) формировать дела в соответствии с утвержденной Номенклатурой, обеспечивать их сохранность; в установленные сроки принимать на архивное хранение документы, законченные делопроизводством;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11) систематизировать и подготавливать к переплету записи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12) нести ответственность за хранение и использование гербовых бланков свидетельств о государственной регистрации актов гражданского состояния, за сохранность архивного фонда отдела и другой текущей документации;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13) в последний рабочий день каждого месяца предоставлять начальнику отдела необходимые сведения для составления ежемесячных, квартальных, годовых отчетов;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14) проводить среди населения разъяснение действующего законодательства о порядке регистрации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15) обеспечивать конфиденциальность сведений и информации о государственной регистрации актов гражданского состояния, являвшихся персональными данными, имеющих ограниченный доступ и не подлежащих разглашению;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16)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  <w:t xml:space="preserve">главный специалист </w:t>
      </w:r>
      <w:r>
        <w:rPr>
          <w:rFonts w:cs="PT Astra Serif" w:ascii="PT Astra Serif" w:hAnsi="PT Astra Serif"/>
          <w:sz w:val="24"/>
          <w:szCs w:val="24"/>
        </w:rPr>
        <w:t>имеет пра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во: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запрашивать и получать в установленном порядке от различных организаций необходимые материалы и сведения, касающиеся вопросов государственной регистрации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вносить предложения по совершенствованию работы, связанной с предусмотренными данным регламентом обязанностями;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обращаться за разъяснением действующего законодательства к начальнику отдела;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получать дополнительное профессиональное образование и участвовать в иных мероприятия  по профессиональному развитию за счет средств областного бюджета.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11. Главный специалист осуществляет иные права и исполняет обязанности, предусмотренные законодательством Российской Федерации, приказами, распоряжениями и поручениями непосредственного руководителя.</w:t>
      </w:r>
    </w:p>
    <w:p>
      <w:pPr>
        <w:pStyle w:val="Normal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12. Главный специалист за неисполнение или ненадлежащее исполнение должностных обязанностей, несоблюдение ограничений и запретов, </w:t>
      </w:r>
      <w:r>
        <w:rPr>
          <w:rFonts w:cs="PT Astra Serif"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>
      <w:pPr>
        <w:pStyle w:val="ConsPlusNormal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i w:val="false"/>
          <w:i w:val="false"/>
          <w:iCs w:val="false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>20. Эффективность и результативность профессиональной служебной деятельности главного специалиста оценивается по следующим показателям: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государственная регистрация актов гражданского состояния в точном соответствии с требованиями действующего законодательства;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отсутствие предписаний Управления Министерства юстиции Российской Федерации по Томской области об устранении нарушении законодательства Российской Федерации;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своевременное предоставление начальнику отдела необходимых сведений для составления отчетов;</w:t>
      </w:r>
    </w:p>
    <w:p>
      <w:pPr>
        <w:pStyle w:val="Normal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отсутствие обоснованных жалоб со стороны граждан и организаций.</w:t>
      </w:r>
    </w:p>
    <w:p>
      <w:pPr>
        <w:pStyle w:val="ConsPlusNormal"/>
        <w:ind w:firstLine="540" w:left="0" w:right="0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8" w:right="625" w:gutter="0" w:header="0" w:top="720" w:footer="567" w:bottom="709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PT Astra Serif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left="0" w:right="0"/>
      <w:rPr>
        <w:sz w:val="18"/>
      </w:rPr>
    </w:pPr>
    <w:r>
      <w:rPr>
        <w:sz w:val="18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ind w:firstLine="709" w:left="0" w:right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zh-CN" w:bidi="ar-SA"/>
    </w:rPr>
  </w:style>
  <w:style w:type="character" w:styleId="WW8Num1z0">
    <w:name w:val="WW8Num1z0"/>
    <w:qFormat/>
    <w:rPr>
      <w:sz w:val="28"/>
      <w:szCs w:val="28"/>
    </w:rPr>
  </w:style>
  <w:style w:type="character" w:styleId="Style14">
    <w:name w:val="Основной шрифт абзаца"/>
    <w:qFormat/>
    <w:rPr/>
  </w:style>
  <w:style w:type="character" w:styleId="PageNumber">
    <w:name w:val="Page Number"/>
    <w:basedOn w:val="Style14"/>
    <w:rPr/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3">
    <w:name w:val="Основной текст (3)_"/>
    <w:qFormat/>
    <w:rPr>
      <w:sz w:val="19"/>
      <w:szCs w:val="19"/>
      <w:shd w:fill="FFFFFF" w:val="clear"/>
    </w:rPr>
  </w:style>
  <w:style w:type="character" w:styleId="33">
    <w:name w:val="Основной текст (3)3"/>
    <w:qFormat/>
    <w:rPr>
      <w:rFonts w:ascii="Times New Roman" w:hAnsi="Times New Roman" w:cs="Times New Roman"/>
      <w:spacing w:val="0"/>
      <w:sz w:val="19"/>
      <w:szCs w:val="19"/>
      <w:shd w:fill="FFFFFF" w:val="clear"/>
    </w:rPr>
  </w:style>
  <w:style w:type="character" w:styleId="Style15">
    <w:name w:val="Текст выноски Знак"/>
    <w:qFormat/>
    <w:rPr>
      <w:rFonts w:ascii="Tahoma" w:hAnsi="Tahoma" w:cs="Tahoma"/>
      <w:sz w:val="16"/>
      <w:szCs w:val="16"/>
    </w:rPr>
  </w:style>
  <w:style w:type="character" w:styleId="Style16">
    <w:name w:val="Текст сноски Знак"/>
    <w:basedOn w:val="Style14"/>
    <w:qFormat/>
    <w:rPr/>
  </w:style>
  <w:style w:type="character" w:styleId="Style17">
    <w:name w:val="Символ сноски"/>
    <w:qFormat/>
    <w:rPr>
      <w:vertAlign w:val="superscript"/>
    </w:rPr>
  </w:style>
  <w:style w:type="character" w:styleId="Style18">
    <w:name w:val="Текст концевой сноски Знак"/>
    <w:basedOn w:val="Style14"/>
    <w:qFormat/>
    <w:rPr/>
  </w:style>
  <w:style w:type="character" w:styleId="Style19">
    <w:name w:val="Символ концевой сноски"/>
    <w:qFormat/>
    <w:rPr>
      <w:vertAlign w:val="superscript"/>
    </w:rPr>
  </w:style>
  <w:style w:type="character" w:styleId="DefaultParagraphFont">
    <w:name w:val="Default Paragraph Font"/>
    <w:qFormat/>
    <w:rPr/>
  </w:style>
  <w:style w:type="character" w:styleId="Match">
    <w:name w:val="match"/>
    <w:basedOn w:val="DefaultParagraphFont"/>
    <w:qFormat/>
    <w:rPr/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next w:val="Normal"/>
    <w:pPr>
      <w:ind w:hanging="0" w:left="0" w:right="0"/>
      <w:jc w:val="both"/>
    </w:pPr>
    <w:rPr>
      <w:sz w:val="22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Style23">
    <w:name w:val="Название объекта"/>
    <w:basedOn w:val="Normal"/>
    <w:next w:val="Normal"/>
    <w:qFormat/>
    <w:pPr>
      <w:jc w:val="center"/>
    </w:pPr>
    <w:rPr>
      <w:b/>
      <w:sz w:val="28"/>
    </w:rPr>
  </w:style>
  <w:style w:type="paragraph" w:styleId="2">
    <w:name w:val="Основной текст 2"/>
    <w:basedOn w:val="Normal"/>
    <w:qFormat/>
    <w:pPr>
      <w:spacing w:before="120" w:after="0"/>
      <w:ind w:hanging="0" w:left="0" w:right="5102"/>
      <w:jc w:val="center"/>
    </w:pPr>
    <w:rPr/>
  </w:style>
  <w:style w:type="paragraph" w:styleId="Style24">
    <w:name w:val="Обращение"/>
    <w:basedOn w:val="Normal"/>
    <w:next w:val="Normal"/>
    <w:qFormat/>
    <w:pPr>
      <w:spacing w:before="240" w:after="120"/>
      <w:ind w:hanging="0" w:left="0" w:right="0"/>
      <w:jc w:val="center"/>
    </w:pPr>
    <w:rPr>
      <w:b/>
    </w:rPr>
  </w:style>
  <w:style w:type="paragraph" w:styleId="Style25">
    <w:name w:val="Адресные реквизиты"/>
    <w:basedOn w:val="BodyText"/>
    <w:next w:val="BodyText"/>
    <w:qFormat/>
    <w:pPr>
      <w:jc w:val="left"/>
    </w:pPr>
    <w:rPr>
      <w:sz w:val="16"/>
    </w:rPr>
  </w:style>
  <w:style w:type="paragraph" w:styleId="Style26">
    <w:name w:val="Адресат"/>
    <w:basedOn w:val="Normal"/>
    <w:qFormat/>
    <w:pPr>
      <w:spacing w:before="120" w:after="0"/>
      <w:ind w:hanging="0" w:left="0" w:right="0"/>
    </w:pPr>
    <w:rPr>
      <w:b/>
    </w:rPr>
  </w:style>
  <w:style w:type="paragraph" w:styleId="31">
    <w:name w:val="Основной текст 3"/>
    <w:basedOn w:val="Normal"/>
    <w:qFormat/>
    <w:pPr>
      <w:tabs>
        <w:tab w:val="clear" w:pos="708"/>
        <w:tab w:val="left" w:pos="7371" w:leader="none"/>
      </w:tabs>
      <w:spacing w:before="120" w:after="0"/>
      <w:ind w:hanging="0" w:left="0" w:right="0"/>
    </w:pPr>
    <w:rPr>
      <w:sz w:val="28"/>
    </w:rPr>
  </w:style>
  <w:style w:type="paragraph" w:styleId="1">
    <w:name w:val="Знак1 Знак Знак Знак"/>
    <w:basedOn w:val="Normal"/>
    <w:qFormat/>
    <w:pPr>
      <w:ind w:hanging="0" w:left="0" w:right="0"/>
    </w:pPr>
    <w:rPr>
      <w:rFonts w:ascii="Verdana" w:hAnsi="Verdana" w:cs="Verdana"/>
      <w:sz w:val="20"/>
      <w:lang w:val="en-US"/>
    </w:rPr>
  </w:style>
  <w:style w:type="paragraph" w:styleId="Style27">
    <w:name w:val="Исполнитель"/>
    <w:basedOn w:val="Normal"/>
    <w:qFormat/>
    <w:pPr>
      <w:ind w:hanging="0" w:left="0" w:right="0"/>
    </w:pPr>
    <w:rPr>
      <w:b/>
      <w:sz w:val="22"/>
      <w:szCs w:val="22"/>
    </w:rPr>
  </w:style>
  <w:style w:type="paragraph" w:styleId="311">
    <w:name w:val="Основной текст (3)1"/>
    <w:basedOn w:val="Normal"/>
    <w:qFormat/>
    <w:pPr>
      <w:shd w:val="clear" w:fill="FFFFFF"/>
      <w:spacing w:lineRule="atLeast" w:line="240"/>
      <w:ind w:hanging="0" w:left="0" w:right="0"/>
    </w:pPr>
    <w:rPr>
      <w:sz w:val="19"/>
      <w:szCs w:val="19"/>
    </w:rPr>
  </w:style>
  <w:style w:type="paragraph" w:styleId="ConsPlusNormal">
    <w:name w:val="ConsPlus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pPr/>
    <w:rPr>
      <w:sz w:val="20"/>
    </w:rPr>
  </w:style>
  <w:style w:type="paragraph" w:styleId="EndnoteText">
    <w:name w:val="Endnote Text"/>
    <w:basedOn w:val="Normal"/>
    <w:pPr/>
    <w:rPr>
      <w:sz w:val="20"/>
    </w:rPr>
  </w:style>
  <w:style w:type="paragraph" w:styleId="Style29">
    <w:name w:val="Содержимое таблицы"/>
    <w:basedOn w:val="Normal"/>
    <w:qFormat/>
    <w:pPr>
      <w:widowControl w:val="false"/>
      <w:suppressLineNumbers/>
    </w:pPr>
    <w:rPr/>
  </w:style>
  <w:style w:type="paragraph" w:styleId="Style30">
    <w:name w:val="Заголовок таблицы"/>
    <w:basedOn w:val="Style29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0"/>
      <w:ind w:hanging="0" w:left="720" w:right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485</TotalTime>
  <Application>LibreOffice/24.2.0.3$Windows_X86_64 LibreOffice_project/da48488a73ddd66ea24cf16bbc4f7b9c08e9bea1</Application>
  <AppVersion>15.0000</AppVersion>
  <Pages>2</Pages>
  <Words>584</Words>
  <Characters>4572</Characters>
  <CharactersWithSpaces>5125</CharactersWithSpaces>
  <Paragraphs>33</Paragraphs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2023-10-23T15:32:00Z</dcterms:created>
  <dc:creator>mazaeva</dc:creator>
  <dc:description/>
  <dc:language>ru-RU</dc:language>
  <cp:lastModifiedBy/>
  <cp:lastPrinted>2023-11-17T15:47:00Z</cp:lastPrinted>
  <dcterms:modified xsi:type="dcterms:W3CDTF">2024-07-10T12:24:14Z</dcterms:modified>
  <cp:revision>47</cp:revision>
  <dc:subject/>
  <dc:title>Распоряжение Администрации Томской области от 16.05.2013 N 393-ра(ред. от 16.05.2023)"Об утверждении Перечня государственных услуг, предоставляемых исполнительными органами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форме"(вместе с "Перечнем государственных у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