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nsPlusNormal"/>
        <w:widowControl w:val="false"/>
        <w:suppressAutoHyphens w:val="true"/>
        <w:overflowPunct w:val="false"/>
        <w:bidi w:val="0"/>
        <w:ind w:left="5669" w:right="57" w:hanging="0"/>
        <w:jc w:val="left"/>
        <w:rPr>
          <w:rFonts w:ascii="PT Astra Serif" w:hAnsi="PT Astra Serif" w:cs="PT Astra Serif"/>
          <w:b w:val="false"/>
          <w:bCs w:val="false"/>
          <w:color w:val="000000"/>
          <w:sz w:val="24"/>
          <w:szCs w:val="24"/>
        </w:rPr>
      </w:pP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</w:rPr>
      </w:r>
    </w:p>
    <w:p>
      <w:pPr>
        <w:pStyle w:val="ConsPlusNormal"/>
        <w:jc w:val="center"/>
        <w:rPr>
          <w:rFonts w:ascii="PT Astra Serif" w:hAnsi="PT Astra Serif" w:cs="PT Astra Serif"/>
          <w:b/>
          <w:bCs/>
          <w:color w:val="000000"/>
          <w:sz w:val="24"/>
          <w:szCs w:val="24"/>
        </w:rPr>
      </w:pPr>
      <w:r>
        <w:rPr>
          <w:rFonts w:cs="PT Astra Serif" w:ascii="PT Astra Serif" w:hAnsi="PT Astra Serif"/>
          <w:b/>
          <w:bCs/>
          <w:color w:val="000000"/>
          <w:sz w:val="24"/>
          <w:szCs w:val="24"/>
        </w:rPr>
      </w:r>
    </w:p>
    <w:p>
      <w:pPr>
        <w:pStyle w:val="ConsPlusNormal"/>
        <w:jc w:val="center"/>
        <w:rPr>
          <w:rFonts w:ascii="PT Astra Serif" w:hAnsi="PT Astra Serif" w:cs="PT Astra Serif"/>
          <w:b/>
          <w:bCs/>
          <w:color w:val="000000"/>
          <w:sz w:val="12"/>
          <w:szCs w:val="12"/>
        </w:rPr>
      </w:pPr>
      <w:r>
        <w:rPr>
          <w:rFonts w:cs="PT Astra Serif" w:ascii="PT Astra Serif" w:hAnsi="PT Astra Serif"/>
          <w:b/>
          <w:bCs/>
          <w:color w:val="000000"/>
          <w:sz w:val="24"/>
          <w:szCs w:val="24"/>
        </w:rPr>
        <w:t xml:space="preserve">Должностной регламент государственного гражданского служащего Томской области, </w:t>
      </w:r>
    </w:p>
    <w:p>
      <w:pPr>
        <w:pStyle w:val="ConsPlusNormal"/>
        <w:jc w:val="center"/>
        <w:rPr>
          <w:rFonts w:eastAsia="Times New Roman"/>
          <w:sz w:val="22"/>
          <w:szCs w:val="22"/>
        </w:rPr>
      </w:pPr>
      <w:r>
        <w:rPr>
          <w:rFonts w:cs="PT Astra Serif" w:ascii="PT Astra Serif" w:hAnsi="PT Astra Serif"/>
          <w:color w:val="000000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left="0" w:right="0" w:hanging="0"/>
        <w:jc w:val="center"/>
        <w:outlineLvl w:val="1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I. Общие положения</w:t>
      </w:r>
    </w:p>
    <w:p>
      <w:pPr>
        <w:pStyle w:val="ConsPlusNormal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1. Должность государстве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</w:rPr>
        <w:t xml:space="preserve">нной гражданской службы Томской области (далее – должность гражданской службы) главного специалиста </w:t>
      </w:r>
      <w:r>
        <w:rPr>
          <w:rFonts w:cs="PT Astra Serif" w:ascii="PT Astra Serif" w:hAnsi="PT Astra Serif"/>
          <w:color w:val="000000"/>
          <w:sz w:val="24"/>
          <w:szCs w:val="24"/>
        </w:rPr>
        <w:t>(далее - Департамент) относится к</w:t>
      </w:r>
      <w:r>
        <w:rPr>
          <w:rFonts w:cs="PT Astra Serif" w:ascii="PT Astra Serif" w:hAnsi="PT Astra Serif"/>
          <w:color w:val="000000"/>
          <w:sz w:val="24"/>
          <w:szCs w:val="24"/>
          <w:lang w:val="ru-RU"/>
        </w:rPr>
        <w:t xml:space="preserve"> старшей </w:t>
      </w:r>
      <w:r>
        <w:rPr>
          <w:rFonts w:cs="PT Astra Serif" w:ascii="PT Astra Serif" w:hAnsi="PT Astra Serif"/>
          <w:color w:val="000000"/>
          <w:sz w:val="24"/>
          <w:szCs w:val="24"/>
        </w:rPr>
        <w:t>группе должностей гражданской службы категории «специалисты».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 xml:space="preserve">2. Область профессиональной служебной деятельности государственного гражданского служащего Томской области (далее - гражданский служащий): </w:t>
      </w:r>
      <w:r>
        <w:rPr>
          <w:rFonts w:cs="PT Astra Serif" w:ascii="PT Astra Serif" w:hAnsi="PT Astra Serif"/>
          <w:i w:val="false"/>
          <w:iCs w:val="false"/>
          <w:color w:val="000000"/>
          <w:sz w:val="24"/>
          <w:szCs w:val="24"/>
          <w:u w:val="single"/>
          <w:shd w:fill="auto" w:val="clear"/>
        </w:rPr>
        <w:t>«Управление в сфере юстиции»</w:t>
      </w:r>
      <w:r>
        <w:rPr>
          <w:rFonts w:cs="PT Astra Serif" w:ascii="PT Astra Serif" w:hAnsi="PT Astra Serif"/>
          <w:color w:val="000000"/>
          <w:sz w:val="24"/>
          <w:szCs w:val="24"/>
        </w:rPr>
        <w:t>.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3. Вид профессиональной служебной деятельности гражданского служащего</w:t>
      </w:r>
      <w:r>
        <w:rPr>
          <w:rFonts w:cs="PT Astra Serif" w:ascii="PT Astra Serif" w:hAnsi="PT Astra Serif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single"/>
          <w:em w:val="none"/>
        </w:rPr>
        <w:t xml:space="preserve"> «Деятельность в сфере государственной регистрации актов гражданского состояния».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 xml:space="preserve">4. Назначение на должность и освобождение от должности 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</w:rPr>
        <w:t>главного специалиста Департам</w:t>
      </w:r>
      <w:r>
        <w:rPr>
          <w:rFonts w:cs="PT Astra Serif" w:ascii="PT Astra Serif" w:hAnsi="PT Astra Serif"/>
          <w:color w:val="000000"/>
          <w:sz w:val="24"/>
          <w:szCs w:val="24"/>
        </w:rPr>
        <w:t>ента осуществляется начальником Департамента.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 xml:space="preserve">5. 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</w:rPr>
        <w:t>Главный специалист Департамента</w:t>
      </w:r>
      <w:r>
        <w:rPr>
          <w:rFonts w:cs="PT Astra Serif" w:ascii="PT Astra Serif" w:hAnsi="PT Astra Serif"/>
          <w:b w:val="false"/>
          <w:bCs w:val="false"/>
          <w:sz w:val="24"/>
          <w:szCs w:val="24"/>
        </w:rPr>
        <w:t xml:space="preserve"> непосредственно подчиняется </w:t>
      </w:r>
      <w:r>
        <w:rPr>
          <w:rFonts w:cs="PT Astra Serif" w:ascii="PT Astra Serif" w:hAnsi="PT Astra Serif"/>
          <w:b w:val="false"/>
          <w:bCs w:val="false"/>
          <w:i w:val="false"/>
          <w:iCs w:val="false"/>
          <w:sz w:val="24"/>
          <w:szCs w:val="24"/>
        </w:rPr>
        <w:t xml:space="preserve">начальнику </w:t>
      </w:r>
      <w:r>
        <w:rPr>
          <w:rFonts w:cs="PT Astra Serif" w:ascii="PT Astra Serif" w:hAnsi="PT Astra Serif"/>
          <w:b w:val="false"/>
          <w:bCs w:val="false"/>
          <w:i w:val="false"/>
          <w:iCs w:val="false"/>
          <w:sz w:val="24"/>
          <w:szCs w:val="24"/>
        </w:rPr>
        <w:t>о</w:t>
      </w:r>
      <w:r>
        <w:rPr>
          <w:rFonts w:cs="PT Astra Serif" w:ascii="PT Astra Serif" w:hAnsi="PT Astra Serif"/>
          <w:b w:val="false"/>
          <w:bCs w:val="false"/>
          <w:i w:val="false"/>
          <w:iCs w:val="false"/>
          <w:color w:val="000000"/>
          <w:sz w:val="24"/>
          <w:szCs w:val="24"/>
        </w:rPr>
        <w:t>тдела.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6. Главный специалист </w:t>
      </w:r>
      <w:r>
        <w:rPr>
          <w:rFonts w:cs="PT Astra Serif" w:ascii="PT Astra Serif" w:hAnsi="PT Astra Serif"/>
          <w:color w:val="000000"/>
          <w:sz w:val="24"/>
          <w:szCs w:val="24"/>
        </w:rPr>
        <w:t>Департамента</w:t>
      </w:r>
      <w:r>
        <w:rPr>
          <w:rFonts w:cs="PT Astra Serif" w:ascii="PT Astra Serif" w:hAnsi="PT Astra Serif"/>
          <w:sz w:val="24"/>
          <w:szCs w:val="24"/>
        </w:rPr>
        <w:t xml:space="preserve"> исполняет должностные обязанности начальника </w:t>
      </w:r>
      <w:r>
        <w:rPr>
          <w:rFonts w:cs="PT Astra Serif" w:ascii="PT Astra Serif" w:hAnsi="PT Astra Serif"/>
          <w:sz w:val="24"/>
          <w:szCs w:val="24"/>
        </w:rPr>
        <w:t>о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</w:rPr>
        <w:t xml:space="preserve">тдела </w:t>
      </w:r>
      <w:r>
        <w:rPr>
          <w:rFonts w:cs="PT Astra Serif" w:ascii="PT Astra Serif" w:hAnsi="PT Astra Serif"/>
          <w:sz w:val="24"/>
          <w:szCs w:val="24"/>
        </w:rPr>
        <w:t>в период его временного отсутствия в порядке, установленном действующим законодательством.</w:t>
      </w:r>
    </w:p>
    <w:p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left="0" w:right="0" w:hanging="0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II. Квалификационные требования для замещения должности гражданской службы</w:t>
      </w:r>
    </w:p>
    <w:p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7. Для замещения должности гражданской службы главного специалиста </w:t>
      </w:r>
      <w:r>
        <w:rPr>
          <w:rFonts w:cs="PT Astra Serif" w:ascii="PT Astra Serif" w:hAnsi="PT Astra Serif"/>
          <w:color w:val="000000"/>
          <w:sz w:val="24"/>
          <w:szCs w:val="24"/>
        </w:rPr>
        <w:t>Департамента</w:t>
      </w:r>
      <w:r>
        <w:rPr>
          <w:rFonts w:cs="PT Astra Serif" w:ascii="PT Astra Serif" w:hAnsi="PT Astra Serif"/>
          <w:sz w:val="24"/>
          <w:szCs w:val="24"/>
        </w:rPr>
        <w:t xml:space="preserve"> устанавливаются следующие квалификационные требования: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7.1. Наличие высшего образования по следующим специальностям, направлениям подготовки: </w:t>
      </w: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</w:rPr>
        <w:t>без требований к специальности, направлению подготовки.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7.2. Требования к стажу: </w:t>
      </w:r>
      <w:r>
        <w:rPr>
          <w:rFonts w:cs="PT Astra Serif" w:ascii="PT Astra Serif" w:hAnsi="PT Astra Serif"/>
          <w:sz w:val="24"/>
          <w:szCs w:val="24"/>
          <w:u w:val="single"/>
        </w:rPr>
        <w:t>без предъявления требований к стажу</w:t>
      </w:r>
      <w:r>
        <w:rPr>
          <w:rFonts w:cs="PT Astra Serif" w:ascii="PT Astra Serif" w:hAnsi="PT Astra Serif"/>
          <w:color w:val="000000"/>
          <w:sz w:val="24"/>
          <w:szCs w:val="24"/>
          <w:u w:val="single"/>
        </w:rPr>
        <w:t>.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7.3. Наличие базовых знаний: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1) правовых основ: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Конституции Российской Федерации;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Федерального закона от 27 мая 2003 г. № 58-ФЗ «О системе государственной службы Российской Федерации»;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Федерального закона от 27 июля 2004 г. № 79-ФЗ «О государственной гражданской службе Российской Федерации»;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Устава (Основного закона) Томской области;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Закона Томской области от 9 декабря 2005 г. № 231-ОЗ «О государственной гражданской службе Томской области»;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Федерального закона от 25 декабря 2008 г. № 273-ФЗ «О противодействии коррупции»;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Закона Томской области от 7 июля 2009 г. № 110-ОЗ «О противодействии коррупции</w:t>
      </w:r>
      <w:r>
        <w:rPr>
          <w:rFonts w:eastAsia="PT Astra Serif" w:cs="PT Astra Serif" w:ascii="PT Astra Serif" w:hAnsi="PT Astra Serif"/>
          <w:color w:val="000000"/>
          <w:sz w:val="24"/>
          <w:szCs w:val="24"/>
        </w:rPr>
        <w:t xml:space="preserve"> </w:t>
      </w:r>
      <w:r>
        <w:rPr>
          <w:rFonts w:cs="PT Astra Serif" w:ascii="PT Astra Serif" w:hAnsi="PT Astra Serif"/>
          <w:color w:val="000000"/>
          <w:sz w:val="24"/>
          <w:szCs w:val="24"/>
        </w:rPr>
        <w:t>в Томской области»;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 xml:space="preserve">2) государственного языка </w:t>
      </w:r>
      <w:r>
        <w:rPr>
          <w:rFonts w:cs="PT Astra Serif" w:ascii="PT Astra Serif" w:hAnsi="PT Astra Serif"/>
          <w:sz w:val="24"/>
          <w:szCs w:val="24"/>
        </w:rPr>
        <w:t>Российской Федерации (русского языка);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3) основ делопроизводства и документооборота;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4) знаний в сфере информационно – коммуникационных технологий.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7.4. Наличие профессиональных знаний: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</w:rPr>
        <w:t>7.4.1. В сфере законодательства Российской Федерации: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1) Семейного кодекса Российской Федерации от 29 декабря 1995 г. № 223-ФЗ;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2) Налогового кодекса Российской Федерации от 31 июля 1998 г. № 146-ФЗ (части второй главы 25.3 «Государственная пошлина»);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3) Федерального закона от 15 ноября 1997 г. № 143-ФЗ «Об актах гражданского состояния»;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4) Федерального закона от 27 июля 2010 г. № 210-ФЗ «Об организации предоставления государственных и муниципальных услуг»;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5) Федерального закона от 2 мая 2006 г. № 59-ФЗ «О порядке рассмотрения обращений граждан Российской Федерации»;</w:t>
      </w:r>
    </w:p>
    <w:p>
      <w:pPr>
        <w:pStyle w:val="ConsPlusNormal"/>
        <w:ind w:left="0" w:right="0" w:firstLine="709"/>
        <w:jc w:val="both"/>
        <w:rPr>
          <w:rFonts w:ascii="PT Astra Serif" w:hAnsi="PT Astra Serif" w:eastAsia="Calibri" w:cs="PT Astra Serif"/>
          <w:i w:val="false"/>
          <w:i w:val="false"/>
          <w:iCs w:val="false"/>
          <w:sz w:val="24"/>
          <w:szCs w:val="24"/>
          <w:u w:val="none"/>
          <w:lang w:val="ru-RU" w:eastAsia="ru-RU" w:bidi="ar-SA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6) постановления Правительства Российской Федерации от 27 июня 2018 г. № 738 «Об утверждении Правил ведения Единого государственного реестра записей актов гражданского состояния»;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eastAsia="Calibri" w:cs="PT Astra Serif" w:ascii="PT Astra Serif" w:hAnsi="PT Astra Serif"/>
          <w:i w:val="false"/>
          <w:iCs w:val="false"/>
          <w:sz w:val="24"/>
          <w:szCs w:val="24"/>
          <w:u w:val="none"/>
          <w:lang w:val="ru-RU" w:eastAsia="ru-RU" w:bidi="ar-SA"/>
        </w:rPr>
        <w:t>7) приказа Минюста России от 13 августа 2018 г. № 167 «Об утверждении форм бланков свидетельств о государственной регистрации актов гражданского состояния и Правил заполнения форм бланков свидетельств о государственной регистрации актов гражданского состояния»;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8) приказа Минюста России от 1 октября 2018 г. № 200 «Об утверждении форм справок и иных документов, подтверждающих наличие или отсутствие фактов государственной регистрации актов гражданского состояния, и Правил заполнения форм справок и иных документов, подтверждающих наличие или отсутствие фактов государственной регистрации актов гражданского состояния»;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9) приказа Минюста России от 1 октября 2018 г. № 201 «Об утверждении форм заявлений о государственной регистрации актов гражданского состояния и Правил заполнения форм заявлений о государственной регистрации актов гражданского состояния»;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</w:rPr>
        <w:t>10) приказа Минюста России 1 октября 2018 г. № 202 «Об утверждении форм записей актов гражданского состояния и Правил заполнения форм записей актов гражданского состояния»;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11) приказа Министерства юстиции Российской Федерации от 28 декабря 2018 г. № 307 «Об утверждении Административного регламента предоставления государственной услуги по государственной регистрации актов гражданского состояния органами, осуществляющими государственную регистрацию актов гражданского состояния на территории Российской Федерации»;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12) приказа МИД России и Минюста России от 29 июня 2012 г. № 10489/124 «Об утверждении Административного регламента Министерства иностранных дел Российской Федерации и Министерства юстиции Российской Федерации по предоставлению государственной услуги по истребованию личных документов»;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13) приказа Минфина России от 12 октября 2017 г. № 150н «Об утверждении требований к форматам сведений, вносимых в запись акта гражданского состояния, конвертируемую (преобразуемую) в форму электронного документа, и порядка представления и использования указанных сведений в целях формирования и ведения Единого государственного реестра записей актов гражданского состояния».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7.4.2. Иные профессиональные знания: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1) методических рекомендаций по государственной регистрации актов гражданского состояния и совершению иных юридически значимых действий;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2) </w:t>
      </w:r>
      <w:r>
        <w:rPr>
          <w:rFonts w:cs="PT Astra Serif" w:ascii="PT Astra Serif" w:hAnsi="PT Astra Serif"/>
          <w:b w:val="false"/>
          <w:bCs w:val="false"/>
          <w:i w:val="false"/>
          <w:iCs w:val="false"/>
          <w:color w:val="000000"/>
          <w:sz w:val="24"/>
          <w:szCs w:val="24"/>
          <w:u w:val="none"/>
        </w:rPr>
        <w:t xml:space="preserve">судебной практики Конституционного Суда Российской Федерации, Верховного Суда Российской Федерации, Высшего Арбитражного Суда Российской Федерации, судов общей юрисдикции в сфере </w:t>
      </w:r>
      <w:r>
        <w:rPr>
          <w:rFonts w:cs="PT Astra Serif" w:ascii="PT Astra Serif" w:hAnsi="PT Astra Serif"/>
          <w:b w:val="false"/>
          <w:bCs w:val="false"/>
          <w:i w:val="false"/>
          <w:iCs w:val="false"/>
          <w:color w:val="000000"/>
          <w:sz w:val="24"/>
          <w:szCs w:val="24"/>
          <w:u w:val="none"/>
          <w:shd w:fill="auto" w:val="clear"/>
        </w:rPr>
        <w:t>государственной регистрации актов гражданского состояния</w:t>
      </w:r>
      <w:r>
        <w:rPr>
          <w:rFonts w:cs="PT Astra Serif" w:ascii="PT Astra Serif" w:hAnsi="PT Astra Serif"/>
          <w:b w:val="false"/>
          <w:bCs w:val="false"/>
          <w:i w:val="false"/>
          <w:iCs w:val="false"/>
          <w:color w:val="C9211E"/>
          <w:sz w:val="24"/>
          <w:szCs w:val="24"/>
          <w:u w:val="none"/>
          <w:shd w:fill="auto" w:val="clear"/>
        </w:rPr>
        <w:t>.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</w:rPr>
        <w:t>7.5. Наличие функциональных знаний: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b w:val="false"/>
          <w:bCs w:val="false"/>
          <w:i w:val="false"/>
          <w:i w:val="false"/>
          <w:iCs w:val="false"/>
          <w:color w:val="000000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 xml:space="preserve">1) </w:t>
      </w:r>
      <w:r>
        <w:rPr>
          <w:rFonts w:cs="PT Astra Serif" w:ascii="PT Astra Serif" w:hAnsi="PT Astra Serif"/>
          <w:i w:val="false"/>
          <w:iCs w:val="false"/>
          <w:color w:val="000000"/>
          <w:sz w:val="24"/>
          <w:szCs w:val="24"/>
          <w:u w:val="none"/>
        </w:rPr>
        <w:t>правил ведения Единого государственного реестра записей актов гражданского состояния (ЕГР ЗАГС)</w:t>
      </w:r>
      <w:r>
        <w:rPr>
          <w:rFonts w:cs="PT Astra Serif" w:ascii="PT Astra Serif" w:hAnsi="PT Astra Serif"/>
          <w:b w:val="false"/>
          <w:bCs w:val="false"/>
          <w:i w:val="false"/>
          <w:iCs w:val="false"/>
          <w:color w:val="000000"/>
          <w:sz w:val="24"/>
          <w:szCs w:val="24"/>
          <w:u w:val="none"/>
        </w:rPr>
        <w:t>;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b w:val="false"/>
          <w:bCs w:val="false"/>
          <w:i w:val="false"/>
          <w:i w:val="false"/>
          <w:iCs w:val="false"/>
          <w:color w:val="000000"/>
          <w:sz w:val="24"/>
          <w:szCs w:val="24"/>
          <w:u w:val="none"/>
        </w:rPr>
      </w:pPr>
      <w:r>
        <w:rPr>
          <w:rFonts w:cs="PT Astra Serif" w:ascii="PT Astra Serif" w:hAnsi="PT Astra Serif"/>
          <w:b w:val="false"/>
          <w:bCs w:val="false"/>
          <w:i w:val="false"/>
          <w:iCs w:val="false"/>
          <w:color w:val="000000"/>
          <w:sz w:val="24"/>
          <w:szCs w:val="24"/>
          <w:u w:val="none"/>
        </w:rPr>
        <w:t>2) принципов предоставления государственных услуг;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b w:val="false"/>
          <w:bCs w:val="false"/>
          <w:i w:val="false"/>
          <w:iCs w:val="false"/>
          <w:color w:val="000000"/>
          <w:sz w:val="24"/>
          <w:szCs w:val="24"/>
          <w:u w:val="none"/>
        </w:rPr>
        <w:t>3) принципов клиентоцентричности.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7.6. Наличие базовых умений:</w:t>
      </w:r>
    </w:p>
    <w:p>
      <w:pPr>
        <w:pStyle w:val="ConsPlusNormal"/>
        <w:widowControl w:val="false"/>
        <w:suppressAutoHyphens w:val="true"/>
        <w:overflowPunct w:val="false"/>
        <w:bidi w:val="0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</w:rPr>
        <w:t>1) умения планировать деятельность и результат;</w:t>
      </w:r>
    </w:p>
    <w:p>
      <w:pPr>
        <w:pStyle w:val="ConsPlusNormal"/>
        <w:widowControl w:val="false"/>
        <w:suppressAutoHyphens w:val="true"/>
        <w:overflowPunct w:val="false"/>
        <w:bidi w:val="0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</w:rPr>
        <w:t>2) работы в команде;</w:t>
      </w:r>
    </w:p>
    <w:p>
      <w:pPr>
        <w:pStyle w:val="ConsPlusNormal"/>
        <w:widowControl w:val="false"/>
        <w:suppressAutoHyphens w:val="true"/>
        <w:overflowPunct w:val="false"/>
        <w:bidi w:val="0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</w:rPr>
        <w:t>3) способности к саморазвитию;</w:t>
      </w:r>
    </w:p>
    <w:p>
      <w:pPr>
        <w:pStyle w:val="ConsPlusNormal"/>
        <w:widowControl w:val="false"/>
        <w:suppressAutoHyphens w:val="true"/>
        <w:overflowPunct w:val="false"/>
        <w:bidi w:val="0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color w:val="000000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</w:rPr>
        <w:t>4) способности к эмпатии;</w:t>
      </w:r>
    </w:p>
    <w:p>
      <w:pPr>
        <w:pStyle w:val="ConsPlusNormal"/>
        <w:widowControl w:val="false"/>
        <w:suppressAutoHyphens w:val="true"/>
        <w:overflowPunct w:val="false"/>
        <w:bidi w:val="0"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color w:val="000000"/>
          <w:sz w:val="24"/>
          <w:szCs w:val="24"/>
        </w:rPr>
        <w:t>5) способности к бесконфликтному деловому стилю общения.</w:t>
      </w:r>
    </w:p>
    <w:p>
      <w:pPr>
        <w:pStyle w:val="ConsPlusNormal"/>
        <w:ind w:left="0" w:right="0" w:firstLine="709"/>
        <w:jc w:val="both"/>
        <w:rPr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</w:rPr>
        <w:t xml:space="preserve">7.7. Наличие профессиональных умений: </w:t>
      </w:r>
    </w:p>
    <w:p>
      <w:pPr>
        <w:pStyle w:val="ConsPlusNormal"/>
        <w:widowControl w:val="false"/>
        <w:suppressAutoHyphens w:val="true"/>
        <w:overflowPunct w:val="false"/>
        <w:bidi w:val="0"/>
        <w:ind w:left="0" w:right="0" w:firstLine="709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i w:val="false"/>
          <w:iCs w:val="false"/>
          <w:sz w:val="24"/>
          <w:szCs w:val="24"/>
          <w:u w:val="none"/>
        </w:rPr>
        <w:t xml:space="preserve">1) </w:t>
      </w: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соблюдения требований к оформлению записей актов гражданского состояния;</w:t>
      </w:r>
    </w:p>
    <w:p>
      <w:pPr>
        <w:pStyle w:val="ConsPlusNormal"/>
        <w:widowControl w:val="false"/>
        <w:suppressAutoHyphens w:val="true"/>
        <w:bidi w:val="0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 xml:space="preserve">2) </w:t>
      </w:r>
      <w:r>
        <w:rPr>
          <w:rFonts w:cs="PT Astra Serif" w:ascii="PT Astra Serif" w:hAnsi="PT Astra Serif"/>
          <w:b w:val="false"/>
          <w:bCs w:val="false"/>
          <w:i w:val="false"/>
          <w:iCs w:val="false"/>
          <w:color w:val="000000"/>
          <w:sz w:val="24"/>
          <w:szCs w:val="24"/>
          <w:u w:val="none"/>
        </w:rPr>
        <w:t xml:space="preserve">подготовки аналитических материалов, обобщения имеющейся информации в сфере государственной регистрации актов гражданского состояния; 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</w:rPr>
        <w:t>7.8. Наличие функциональных умений: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1) публичные выступления;</w:t>
      </w:r>
    </w:p>
    <w:p>
      <w:pPr>
        <w:pStyle w:val="ConsPlusNormal"/>
        <w:widowControl w:val="false"/>
        <w:suppressAutoHyphens w:val="true"/>
        <w:overflowPunct w:val="false"/>
        <w:bidi w:val="0"/>
        <w:ind w:left="0" w:right="0" w:firstLine="709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2) работа с Интернет-ресурсами, правовыми базами;</w:t>
      </w:r>
    </w:p>
    <w:p>
      <w:pPr>
        <w:pStyle w:val="ConsPlusNormal"/>
        <w:widowControl w:val="false"/>
        <w:suppressAutoHyphens w:val="true"/>
        <w:overflowPunct w:val="false"/>
        <w:bidi w:val="0"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3) консультирование по вопросам реализации законодательства Российской Федерации в сфере государственной регистрации актов гражданского состояния.</w:t>
      </w:r>
    </w:p>
    <w:p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left="0" w:right="0" w:hanging="0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</w:p>
    <w:p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8. Основные права и обязанности г</w:t>
      </w:r>
      <w:r>
        <w:rPr>
          <w:rFonts w:cs="PT Astra Serif" w:ascii="PT Astra Serif" w:hAnsi="PT Astra Serif"/>
          <w:sz w:val="24"/>
          <w:szCs w:val="24"/>
          <w:u w:val="single"/>
        </w:rPr>
        <w:t>лавного специалиста</w:t>
      </w:r>
      <w:r>
        <w:rPr>
          <w:rFonts w:cs="PT Astra Serif" w:ascii="PT Astra Serif" w:hAnsi="PT Astra Serif"/>
          <w:sz w:val="24"/>
          <w:szCs w:val="24"/>
        </w:rPr>
        <w:t>, а также ограничения, запреты и требования к служебному поведению установлены статьями 14 - 18 Федерального закона от 27 июля 2004 г. № 79-ФЗ</w:t>
      </w:r>
      <w:r>
        <w:rPr>
          <w:rFonts w:eastAsia="PT Astra Serif" w:cs="PT Astra Serif" w:ascii="PT Astra Serif" w:hAnsi="PT Astra Serif"/>
          <w:sz w:val="24"/>
          <w:szCs w:val="24"/>
        </w:rPr>
        <w:t xml:space="preserve"> </w:t>
      </w:r>
      <w:r>
        <w:rPr>
          <w:rFonts w:cs="PT Astra Serif" w:ascii="PT Astra Serif" w:hAnsi="PT Astra Serif"/>
          <w:sz w:val="24"/>
          <w:szCs w:val="24"/>
        </w:rPr>
        <w:t>«О государственной гражданской службе Российской Федерации».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</w:rPr>
        <w:t xml:space="preserve">9. В целях реализации задач и функций, возложенных на 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  <w:u w:val="single"/>
        </w:rPr>
        <w:t>Отдел</w:t>
      </w:r>
      <w:r>
        <w:rPr>
          <w:rFonts w:cs="PT Astra Serif" w:ascii="PT Astra Serif" w:hAnsi="PT Astra Serif"/>
          <w:color w:val="000000"/>
          <w:sz w:val="24"/>
          <w:szCs w:val="24"/>
          <w:u w:val="single"/>
        </w:rPr>
        <w:t xml:space="preserve"> </w:t>
      </w:r>
      <w:r>
        <w:rPr>
          <w:rFonts w:cs="PT Astra Serif" w:ascii="PT Astra Serif" w:hAnsi="PT Astra Serif"/>
          <w:sz w:val="24"/>
          <w:szCs w:val="24"/>
        </w:rPr>
        <w:t xml:space="preserve">, </w:t>
      </w:r>
      <w:r>
        <w:rPr>
          <w:rFonts w:cs="PT Astra Serif" w:ascii="PT Astra Serif" w:hAnsi="PT Astra Serif"/>
          <w:sz w:val="24"/>
          <w:szCs w:val="24"/>
          <w:u w:val="single"/>
        </w:rPr>
        <w:t>главный специалист</w:t>
      </w:r>
      <w:r>
        <w:rPr>
          <w:rFonts w:cs="PT Astra Serif" w:ascii="PT Astra Serif" w:hAnsi="PT Astra Serif"/>
          <w:sz w:val="24"/>
          <w:szCs w:val="24"/>
        </w:rPr>
        <w:t xml:space="preserve"> обязан:</w:t>
      </w:r>
    </w:p>
    <w:p>
      <w:pPr>
        <w:pStyle w:val="ConsPlusNormal"/>
        <w:widowControl w:val="false"/>
        <w:suppressAutoHyphens w:val="true"/>
        <w:overflowPunct w:val="false"/>
        <w:bidi w:val="0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1) производить государственную регистрацию всех типов актов гражданского состояния посредством составления в ЕГР ЗАГС соответствующей записи акта гражданского состояния, в том числе, в случаях определенных действующим законодательством, на дому, в медицинской или иной организации и в иных местах;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2) вести прием граждан;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3) принимать заявления о государственной регистрации актов гражданского состояния;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4) предоставлять сведения о государственной регистрации актов гражданского состоянии в порядке, предусмотренном действующем законодательством;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5) оформлять материалы по перемене имени и внесению исправлений или изменений в записи актов гражданского состояния в установленные законом сроки;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6) вносить исправления и изменения в первые экземпляры записей актов гражданского состояния, а также производить предусмотренные законом отметки, и выдавать повторные свидетельства о государственной регистрации акта гражданского состояния или иные документы, подтверждающие факт государственной регистрации акта гражданского состояния;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7) направлять извещения о внесении исправлений и изменений по месту хранения вторых экземпляров записей актов гражданского состояния в течение трех дней после исполнения;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8) производить восстановление записей актов гражданского состояния в соответствии с действующем законодательством;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9) выдавать повторные свидетельства о государственной регистрации актов гражданского состояния, оформлять документы, подтверждающие факт государственной регистрации акта гражданского состояния, а в случае отсутствия первичной или восстановленной записи акта гражданского состояния – сведения об этом;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10) формировать дела в соответствии с утвержденной Номенклатурой, обеспечивать их сохранность; в установленные сроки принимать на архивное хранение документы, законченные делопроизводством;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11) систематизировать и подготавливать к переплету записи актов гражданского состояния;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12) нести ответственность за хранение и использование гербовых бланков свидетельств о государственной регистрации актов гражданского состояния, за сохранность архивного фонда отдела и другой текущей документации;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13) в последний рабочий день каждого месяца предоставлять начальнику отдела необходимые сведения для составления ежемесячных, квартальных, годовых отчетов;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14) проводить среди населения разъяснение действующего законодательства о порядке регистрации актов гражданского состояния;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15) обеспечивать конфиденциальность сведений и информации о государственной регистрации актов гражданского состояния, являвшихся персональными данными, имеющих ограниченный доступ и не подлежащих разглашению;</w:t>
      </w:r>
    </w:p>
    <w:p>
      <w:pPr>
        <w:pStyle w:val="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16)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</w:rPr>
        <w:t xml:space="preserve">10. В целях исполнения возложенных должностных обязанностей 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</w:rPr>
        <w:t xml:space="preserve">главный специалист </w:t>
      </w:r>
      <w:r>
        <w:rPr>
          <w:rFonts w:cs="PT Astra Serif" w:ascii="PT Astra Serif" w:hAnsi="PT Astra Serif"/>
          <w:sz w:val="24"/>
          <w:szCs w:val="24"/>
        </w:rPr>
        <w:t>имеет пра</w:t>
      </w: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во: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1) запрашивать и получать в установленном порядке от различных организаций необходимые материалы и сведения, касающиеся вопросов государственной регистрации актов гражданского состояния;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2) вносить предложения по совершенствованию работы, связанной с предусмотренными данным регламентом обязанностями;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3) обращаться за разъяснением действующего законодательства к начальнику отдела;</w:t>
      </w:r>
    </w:p>
    <w:p>
      <w:pPr>
        <w:pStyle w:val="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4) получать дополнительное профессиональное образование и участвовать в иных мероприятия  по профессиональному развитию за счет средств областного бюджета.</w:t>
      </w:r>
    </w:p>
    <w:p>
      <w:pPr>
        <w:pStyle w:val="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11. Главный специалист осуществляет иные права и исполняет обязанности, предусмотренные законодательством Российской Федерации, приказами, распоряжениями и поручениями непосредственного руководителя.</w:t>
      </w:r>
    </w:p>
    <w:p>
      <w:pPr>
        <w:pStyle w:val="Normal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12. Главный специалист за неисполнение или ненадлежащее исполнение должностных обязанностей, несоблюдение ограничений и запретов, </w:t>
      </w:r>
      <w:r>
        <w:rPr>
          <w:rFonts w:cs="PT Astra Serif" w:ascii="PT Astra Serif" w:hAnsi="PT Astra Serif"/>
          <w:color w:val="000000"/>
          <w:sz w:val="24"/>
          <w:szCs w:val="24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>
      <w:pPr>
        <w:pStyle w:val="ConsPlusNormal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left="0" w:right="0" w:hanging="0"/>
        <w:jc w:val="center"/>
        <w:outlineLvl w:val="1"/>
        <w:rPr>
          <w:rFonts w:ascii="PT Astra Serif" w:hAnsi="PT Astra Serif" w:cs="PT Astra Serif"/>
          <w:i w:val="false"/>
          <w:i w:val="false"/>
          <w:iCs w:val="false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IV. Перечень вопросов, по которым гражданский</w:t>
      </w:r>
      <w:r>
        <w:rPr>
          <w:rFonts w:cs="PT Astra Serif" w:ascii="PT Astra Serif" w:hAnsi="PT Astra Serif"/>
          <w:sz w:val="24"/>
          <w:szCs w:val="24"/>
        </w:rPr>
        <w:t xml:space="preserve"> служащий вправе или обязан самостоятельно принимать управленческие </w:t>
      </w:r>
      <w:r>
        <w:rPr>
          <w:rFonts w:cs="PT Astra Serif" w:ascii="PT Astra Serif" w:hAnsi="PT Astra Serif"/>
          <w:i w:val="false"/>
          <w:iCs w:val="false"/>
          <w:sz w:val="24"/>
          <w:szCs w:val="24"/>
        </w:rPr>
        <w:t>и иные решения</w:t>
      </w:r>
    </w:p>
    <w:p>
      <w:pPr>
        <w:pStyle w:val="ConsPlusNormal"/>
        <w:ind w:left="0" w:right="0" w:firstLine="567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</w:rPr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</w:rPr>
        <w:t>13. При исполнении служебных обязанностей главный специалист</w:t>
      </w:r>
      <w:r>
        <w:rPr>
          <w:rFonts w:cs="PT Astra Serif" w:ascii="PT Astra Serif" w:hAnsi="PT Astra Serif"/>
          <w:i w:val="false"/>
          <w:iCs w:val="false"/>
          <w:color w:val="000000"/>
          <w:sz w:val="24"/>
          <w:szCs w:val="24"/>
        </w:rPr>
        <w:t xml:space="preserve"> </w:t>
      </w:r>
      <w:r>
        <w:rPr>
          <w:rFonts w:cs="PT Astra Serif" w:ascii="PT Astra Serif" w:hAnsi="PT Astra Serif"/>
          <w:i w:val="false"/>
          <w:iCs w:val="false"/>
          <w:sz w:val="24"/>
          <w:szCs w:val="24"/>
        </w:rPr>
        <w:t>вправе самостоятельно принимать решения по вопросам:</w:t>
      </w:r>
    </w:p>
    <w:p>
      <w:pPr>
        <w:pStyle w:val="Normal"/>
        <w:jc w:val="both"/>
        <w:rPr>
          <w:rFonts w:ascii="PT Astra Serif" w:hAnsi="PT Astra Serif" w:cs="PT Astra Serif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В связи со служебной необходимостью запрашивать и получать в установленном порядке информацию и материалы, касающиеся вопросов деятельности отдела.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  <w:u w:val="none"/>
        </w:rPr>
        <w:t>14. При исполнении служебных обязанносте</w:t>
      </w:r>
      <w:r>
        <w:rPr>
          <w:rFonts w:cs="PT Astra Serif" w:ascii="PT Astra Serif" w:hAnsi="PT Astra Serif"/>
          <w:b w:val="false"/>
          <w:bCs w:val="false"/>
          <w:sz w:val="24"/>
          <w:szCs w:val="24"/>
          <w:u w:val="none"/>
        </w:rPr>
        <w:t xml:space="preserve">й 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  <w:u w:val="none"/>
        </w:rPr>
        <w:t xml:space="preserve">главный специалист </w:t>
      </w:r>
      <w:r>
        <w:rPr>
          <w:rFonts w:cs="PT Astra Serif" w:ascii="PT Astra Serif" w:hAnsi="PT Astra Serif"/>
          <w:b w:val="false"/>
          <w:bCs w:val="false"/>
          <w:sz w:val="24"/>
          <w:szCs w:val="24"/>
          <w:u w:val="none"/>
        </w:rPr>
        <w:t>обязан самостоятельно приним</w:t>
      </w:r>
      <w:r>
        <w:rPr>
          <w:rFonts w:cs="PT Astra Serif" w:ascii="PT Astra Serif" w:hAnsi="PT Astra Serif"/>
          <w:b w:val="false"/>
          <w:bCs w:val="false"/>
          <w:i w:val="false"/>
          <w:iCs w:val="false"/>
          <w:sz w:val="24"/>
          <w:szCs w:val="24"/>
          <w:u w:val="none"/>
        </w:rPr>
        <w:t>ать решения по вопросам: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b w:val="false"/>
          <w:bCs w:val="false"/>
          <w:i w:val="false"/>
          <w:iCs w:val="false"/>
          <w:sz w:val="24"/>
          <w:szCs w:val="24"/>
          <w:u w:val="none"/>
        </w:rPr>
        <w:t>1) принимать решение о государственной регистрации актов гражданского состояния на основании заявлений граждан и представленных документов (если в силу требований Федерального закона «Об актах гражданского состояния» не представляется возможным произвести государственную регистрацию акта гражданского состояния, гражданский служащий обязан доложить начальнику отдела о причинах отказа в регистрации акта гражданского состояния);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2) оценивать законность основания при внесении исправлений или изменений в записи актов гражданского состояния и производстве отметок (при обнаружении нарушения законодательства гражданский служащий обязан сообщить о данных фактах начальнику отдела;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3) оценивать законность предоставления сведений о государственной регистрации актов гражданского состояния из ЕГР ЗАГС.</w:t>
      </w:r>
    </w:p>
    <w:p>
      <w:pPr>
        <w:pStyle w:val="ConsPlusNormal"/>
        <w:ind w:left="0" w:right="0" w:firstLine="54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</w:r>
    </w:p>
    <w:p>
      <w:pPr>
        <w:pStyle w:val="ConsPlusNormal"/>
        <w:numPr>
          <w:ilvl w:val="0"/>
          <w:numId w:val="0"/>
        </w:numPr>
        <w:ind w:left="0" w:right="0" w:hanging="0"/>
        <w:jc w:val="center"/>
        <w:outlineLvl w:val="1"/>
        <w:rPr>
          <w:rFonts w:ascii="PT Astra Serif" w:hAnsi="PT Astra Serif" w:cs="PT Astra Serif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  <w:u w:val="none"/>
        </w:rPr>
        <w:t>V. Перечень вопросов, по которым гражданский служащий вправе или обязан участвовать при подготовке проектов нормативных правовых актов и (или) проектов управленческих и иных решений</w:t>
      </w:r>
    </w:p>
    <w:p>
      <w:pPr>
        <w:pStyle w:val="ConsPlusNormal"/>
        <w:ind w:left="0" w:right="0" w:firstLine="567"/>
        <w:jc w:val="both"/>
        <w:rPr>
          <w:rFonts w:ascii="PT Astra Serif" w:hAnsi="PT Astra Serif" w:cs="PT Astra Serif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  <w:u w:val="none"/>
        </w:rPr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  <w:u w:val="none"/>
        </w:rPr>
        <w:t>15.</w:t>
      </w: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 xml:space="preserve"> Главный специалист в соответствии со своей компетенцией вправе участвовать при подготовке (обсуждении) следующих проектов:</w:t>
      </w:r>
    </w:p>
    <w:p>
      <w:pPr>
        <w:pStyle w:val="ConsPlusNormal"/>
        <w:widowControl w:val="false"/>
        <w:suppressAutoHyphens w:val="true"/>
        <w:overflowPunct w:val="false"/>
        <w:bidi w:val="0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1) писем, ответов на обращения федеральных государственных органов, государственных органов субъектов Российской Федерации, граждан и организаций;</w:t>
      </w:r>
    </w:p>
    <w:p>
      <w:pPr>
        <w:pStyle w:val="ConsPlusNormal"/>
        <w:widowControl w:val="false"/>
        <w:suppressAutoHyphens w:val="true"/>
        <w:overflowPunct w:val="false"/>
        <w:bidi w:val="0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2) докладных, служебных и пояснительных записок;</w:t>
      </w:r>
    </w:p>
    <w:p>
      <w:pPr>
        <w:pStyle w:val="ConsPlusNormal"/>
        <w:widowControl w:val="false"/>
        <w:suppressAutoHyphens w:val="true"/>
        <w:overflowPunct w:val="false"/>
        <w:bidi w:val="0"/>
        <w:ind w:left="0" w:right="0" w:firstLine="709"/>
        <w:jc w:val="both"/>
        <w:rPr>
          <w:rFonts w:ascii="PT Astra Serif" w:hAnsi="PT Astra Serif" w:cs="PT Astra Serif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3) предложений связанных с улучшением деятельности своего отдела, Департамента, своей деятельности, устранения недостатков в указанной деятельности.</w:t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b w:val="false"/>
          <w:bCs w:val="false"/>
          <w:i w:val="false"/>
          <w:iCs w:val="false"/>
          <w:sz w:val="24"/>
          <w:szCs w:val="24"/>
          <w:u w:val="none"/>
        </w:rPr>
        <w:t>16. Главный специалист в соответствии со своей компетенцией обязан участвовать при подготовке (обсуждении) следующих проектов:</w:t>
      </w:r>
    </w:p>
    <w:p>
      <w:pPr>
        <w:pStyle w:val="ConsPlusNormal"/>
        <w:widowControl w:val="false"/>
        <w:suppressAutoHyphens w:val="true"/>
        <w:overflowPunct w:val="false"/>
        <w:bidi w:val="0"/>
        <w:ind w:left="0" w:right="0" w:firstLine="709"/>
        <w:jc w:val="both"/>
        <w:rPr>
          <w:rFonts w:ascii="PT Astra Serif" w:hAnsi="PT Astra Serif" w:cs="PT Astra Serif"/>
          <w:sz w:val="24"/>
          <w:szCs w:val="24"/>
          <w:u w:val="none"/>
        </w:rPr>
      </w:pPr>
      <w:r>
        <w:rPr>
          <w:rFonts w:cs="PT Astra Serif" w:ascii="PT Astra Serif" w:hAnsi="PT Astra Serif"/>
          <w:b w:val="false"/>
          <w:bCs w:val="false"/>
          <w:i w:val="false"/>
          <w:iCs w:val="false"/>
          <w:sz w:val="24"/>
          <w:szCs w:val="24"/>
          <w:u w:val="none"/>
        </w:rPr>
        <w:t>1) отчетов по направлениям деятельности отдела, справок и иных аналитических документов.</w:t>
      </w:r>
    </w:p>
    <w:p>
      <w:pPr>
        <w:pStyle w:val="ConsPlusNormal"/>
        <w:numPr>
          <w:ilvl w:val="0"/>
          <w:numId w:val="0"/>
        </w:numPr>
        <w:ind w:left="0" w:right="0" w:hanging="0"/>
        <w:jc w:val="center"/>
        <w:outlineLvl w:val="1"/>
        <w:rPr>
          <w:rFonts w:ascii="PT Astra Serif" w:hAnsi="PT Astra Serif" w:cs="PT Astra Serif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  <w:u w:val="none"/>
        </w:rPr>
      </w:r>
    </w:p>
    <w:p>
      <w:pPr>
        <w:pStyle w:val="ConsPlusNormal"/>
        <w:numPr>
          <w:ilvl w:val="0"/>
          <w:numId w:val="0"/>
        </w:numPr>
        <w:ind w:left="0" w:right="0" w:hanging="0"/>
        <w:jc w:val="center"/>
        <w:outlineLvl w:val="1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  <w:u w:val="none"/>
        </w:rPr>
        <w:t>VI.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>
      <w:pPr>
        <w:pStyle w:val="ConsPlus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color w:val="000000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color w:val="000000"/>
          <w:sz w:val="24"/>
          <w:szCs w:val="24"/>
          <w:u w:val="none"/>
        </w:rPr>
        <w:t xml:space="preserve">17. </w:t>
      </w:r>
      <w:r>
        <w:rPr>
          <w:rFonts w:cs="PT Astra Serif" w:ascii="PT Astra Serif" w:hAnsi="PT Astra Serif"/>
          <w:i w:val="false"/>
          <w:iCs w:val="false"/>
          <w:color w:val="000000"/>
          <w:sz w:val="24"/>
          <w:szCs w:val="24"/>
          <w:u w:val="none"/>
          <w:shd w:fill="auto" w:val="clear"/>
        </w:rPr>
        <w:t xml:space="preserve">Сроки и процедуры подготовки, рассмотрения проектов управленческих и иных решений, порядок согласования и принятия данных решений главным специалистом определяются в соответствии с законодательными и иными нормативными правовыми актами Российской Федерации и Томской области. </w:t>
      </w:r>
    </w:p>
    <w:p>
      <w:pPr>
        <w:pStyle w:val="ConsPlusNormal"/>
        <w:jc w:val="both"/>
        <w:rPr>
          <w:rFonts w:ascii="PT Astra Serif" w:hAnsi="PT Astra Serif" w:cs="PT Astra Serif"/>
          <w:color w:val="000000"/>
          <w:sz w:val="24"/>
          <w:szCs w:val="24"/>
          <w:u w:val="none"/>
        </w:rPr>
      </w:pPr>
      <w:r>
        <w:rPr>
          <w:rFonts w:cs="PT Astra Serif" w:ascii="PT Astra Serif" w:hAnsi="PT Astra Serif"/>
          <w:color w:val="000000"/>
          <w:sz w:val="24"/>
          <w:szCs w:val="24"/>
          <w:u w:val="none"/>
        </w:rPr>
      </w:r>
    </w:p>
    <w:p>
      <w:pPr>
        <w:pStyle w:val="ConsPlusNormal"/>
        <w:numPr>
          <w:ilvl w:val="0"/>
          <w:numId w:val="0"/>
        </w:numPr>
        <w:ind w:left="0" w:right="0" w:hanging="0"/>
        <w:jc w:val="center"/>
        <w:outlineLvl w:val="1"/>
        <w:rPr>
          <w:rFonts w:ascii="PT Astra Serif" w:hAnsi="PT Astra Serif" w:cs="PT Astra Serif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  <w:u w:val="none"/>
        </w:rPr>
        <w:t>VII. Порядок служебного взаимодействия гражданского служащего в связи с исполнением им должностных обязанностей</w:t>
      </w:r>
    </w:p>
    <w:p>
      <w:pPr>
        <w:pStyle w:val="ConsPlusNormal"/>
        <w:jc w:val="both"/>
        <w:rPr>
          <w:rFonts w:ascii="PT Astra Serif" w:hAnsi="PT Astra Serif" w:cs="PT Astra Serif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  <w:u w:val="none"/>
        </w:rPr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  <w:u w:val="none"/>
        </w:rPr>
        <w:t>18. Взаимодействие главного специалиста с гражданскими служащими Департамента, государственными служащими иных государственных органов, а также с другими гражданами и организациями строится в рамках деловых отношений на основе общих принципов служебного поведения государственны</w:t>
      </w:r>
      <w:r>
        <w:rPr>
          <w:rFonts w:cs="PT Astra Serif" w:ascii="PT Astra Serif" w:hAnsi="PT Astra Serif"/>
          <w:sz w:val="24"/>
          <w:szCs w:val="24"/>
        </w:rPr>
        <w:t>х служащих, утвержденных Указом Президента Российской Федерации от 12 августа 2002 г. № 885 «Об утверждении общих принципов служебного поведения государственных служащих», и требований к служебному поведению гражданского служащего, установленных статьей 18 Федерального закона от 27 июля 2004 г. № 79-ФЗ «О государственной гражданской службе Российской Федерации», а также в соответствии с иными нормативными правовыми актами.</w:t>
      </w:r>
    </w:p>
    <w:p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left="0" w:right="0" w:hanging="0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VIII. Перечень государственных услуг, оказываемых гражданам и организациям в соответствии с административным регламентом государственного органа </w:t>
      </w:r>
    </w:p>
    <w:p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single"/>
        </w:rPr>
      </w:pPr>
      <w:r>
        <w:rPr>
          <w:rFonts w:cs="PT Astra Serif" w:ascii="PT Astra Serif" w:hAnsi="PT Astra Serif"/>
          <w:sz w:val="24"/>
          <w:szCs w:val="24"/>
        </w:rPr>
        <w:t>19. Главный специалист принимает участие в оказании следующих государственных услуг: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singl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</w:rPr>
        <w:t>1) государственная регистрация заключения брака;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singl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</w:rPr>
        <w:t>2) государственная регистрация перемены имени;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singl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</w:rPr>
        <w:t>3) государственная регистрация усыновления (удочерения);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singl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</w:rPr>
        <w:t>4) государственная регистрация рождения;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singl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</w:rPr>
        <w:t>5) государственная регистрация расторжения брака;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singl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</w:rPr>
        <w:t>6) государственная регистрация установления отцовства;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singl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</w:rPr>
        <w:t>7) государственная регистрация смерти;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singl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</w:rPr>
        <w:t>8) выдача повторных свидетельств о государственной регистрации актов гражданского состояния и иных документов, подтверждающих наличие или отсутствие факта государственной регистрации акта гражданского состояния</w:t>
      </w: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  <w:lang w:val="en-US"/>
        </w:rPr>
        <w:t>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single"/>
          <w:lang w:val="en-US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</w:rPr>
        <w:t>9) внесение исправлений и изменений в записи актов гражданского состояния;</w:t>
      </w:r>
    </w:p>
    <w:p>
      <w:pPr>
        <w:pStyle w:val="Normal"/>
        <w:widowControl/>
        <w:suppressAutoHyphens w:val="true"/>
        <w:overflowPunct w:val="false"/>
        <w:bidi w:val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  <w:lang w:val="en-US"/>
        </w:rPr>
        <w:t>1</w:t>
      </w: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</w:rPr>
        <w:t>0) восстановление записей актов гражданского состояния.</w:t>
      </w:r>
    </w:p>
    <w:p>
      <w:pPr>
        <w:pStyle w:val="ConsPlusNormal"/>
        <w:widowControl w:val="false"/>
        <w:suppressAutoHyphens w:val="true"/>
        <w:overflowPunct w:val="false"/>
        <w:bidi w:val="0"/>
        <w:ind w:left="0" w:right="0" w:firstLine="68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left="0" w:right="0" w:hanging="0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IX. Показатели эффективности и результативности профессиональной служебной деятельности гражданского служащего</w:t>
      </w:r>
    </w:p>
    <w:p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rmal"/>
        <w:ind w:left="0" w:right="0" w:firstLine="709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</w:rPr>
        <w:t>20. Эффективность и результативность профессиональной служебной деятельности главного специалиста оценивается по следующим показателям: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1) государственная регистрация актов гражданского состояния в точном соответствии с требованиями действующего законодательства;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2) отсутствие предписаний Управления Министерства юстиции Российской Федерации по Томской области об устранении нарушении законодательства Российской Федерации;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3) своевременное предоставление начальнику отдела необходимых сведений для составления отчетов;</w:t>
      </w:r>
    </w:p>
    <w:p>
      <w:pPr>
        <w:pStyle w:val="Normal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4) отсутствие обоснованных жалоб со стороны граждан и организаций.</w:t>
      </w:r>
    </w:p>
    <w:p>
      <w:pPr>
        <w:pStyle w:val="ConsPlusNormal"/>
        <w:ind w:left="0" w:right="0" w:firstLine="540"/>
        <w:jc w:val="both"/>
        <w:rPr>
          <w:rFonts w:ascii="PT Astra Serif" w:hAnsi="PT Astra Serif" w:cs="PT Astra Serif"/>
        </w:rPr>
      </w:pPr>
      <w:r>
        <w:rPr/>
      </w:r>
    </w:p>
    <w:sectPr>
      <w:footerReference w:type="default" r:id="rId2"/>
      <w:footerReference w:type="first" r:id="rId3"/>
      <w:type w:val="nextPage"/>
      <w:pgSz w:w="11906" w:h="16838"/>
      <w:pgMar w:left="1418" w:right="625" w:gutter="0" w:header="0" w:top="720" w:footer="567" w:bottom="709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PT Astra Serif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8"/>
      <w:ind w:left="0" w:right="0" w:hanging="0"/>
      <w:rPr>
        <w:sz w:val="18"/>
      </w:rPr>
    </w:pPr>
    <w:r>
      <w:rPr>
        <w:sz w:val="18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8"/>
      <w:rPr/>
    </w:pPr>
    <w:r>
      <w:rPr/>
    </w:r>
  </w:p>
</w:ftr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ind w:left="0" w:right="0" w:firstLine="709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ru-RU" w:eastAsia="zh-CN" w:bidi="ar-SA"/>
    </w:rPr>
  </w:style>
  <w:style w:type="character" w:styleId="WW8Num1z0">
    <w:name w:val="WW8Num1z0"/>
    <w:qFormat/>
    <w:rPr>
      <w:sz w:val="28"/>
      <w:szCs w:val="28"/>
    </w:rPr>
  </w:style>
  <w:style w:type="character" w:styleId="Style14">
    <w:name w:val="Основной шрифт абзаца"/>
    <w:qFormat/>
    <w:rPr/>
  </w:style>
  <w:style w:type="character" w:styleId="Style15">
    <w:name w:val="Page Number"/>
    <w:basedOn w:val="Style14"/>
    <w:rPr/>
  </w:style>
  <w:style w:type="character" w:styleId="-">
    <w:name w:val="Hyperlink"/>
    <w:rPr>
      <w:rFonts w:cs="Times New Roman"/>
      <w:color w:val="0000FF"/>
      <w:u w:val="single"/>
    </w:rPr>
  </w:style>
  <w:style w:type="character" w:styleId="3">
    <w:name w:val="Основной текст (3)_"/>
    <w:qFormat/>
    <w:rPr>
      <w:sz w:val="19"/>
      <w:szCs w:val="19"/>
      <w:shd w:fill="FFFFFF" w:val="clear"/>
    </w:rPr>
  </w:style>
  <w:style w:type="character" w:styleId="33">
    <w:name w:val="Основной текст (3)3"/>
    <w:qFormat/>
    <w:rPr>
      <w:rFonts w:ascii="Times New Roman" w:hAnsi="Times New Roman" w:cs="Times New Roman"/>
      <w:spacing w:val="0"/>
      <w:sz w:val="19"/>
      <w:szCs w:val="19"/>
      <w:shd w:fill="FFFFFF" w:val="clear"/>
    </w:rPr>
  </w:style>
  <w:style w:type="character" w:styleId="Style16">
    <w:name w:val="Текст выноски Знак"/>
    <w:qFormat/>
    <w:rPr>
      <w:rFonts w:ascii="Tahoma" w:hAnsi="Tahoma" w:cs="Tahoma"/>
      <w:sz w:val="16"/>
      <w:szCs w:val="16"/>
    </w:rPr>
  </w:style>
  <w:style w:type="character" w:styleId="Style17">
    <w:name w:val="Текст сноски Знак"/>
    <w:basedOn w:val="Style14"/>
    <w:qFormat/>
    <w:rPr/>
  </w:style>
  <w:style w:type="character" w:styleId="Style18">
    <w:name w:val="Символ сноски"/>
    <w:qFormat/>
    <w:rPr>
      <w:vertAlign w:val="superscript"/>
    </w:rPr>
  </w:style>
  <w:style w:type="character" w:styleId="Style19">
    <w:name w:val="Текст концевой сноски Знак"/>
    <w:basedOn w:val="Style14"/>
    <w:qFormat/>
    <w:rPr/>
  </w:style>
  <w:style w:type="character" w:styleId="Style20">
    <w:name w:val="Символ концевой сноски"/>
    <w:qFormat/>
    <w:rPr>
      <w:vertAlign w:val="superscript"/>
    </w:rPr>
  </w:style>
  <w:style w:type="character" w:styleId="DefaultParagraphFont">
    <w:name w:val="Default Paragraph Font"/>
    <w:qFormat/>
    <w:rPr/>
  </w:style>
  <w:style w:type="character" w:styleId="Match">
    <w:name w:val="match"/>
    <w:basedOn w:val="DefaultParagraphFont"/>
    <w:qFormat/>
    <w:rPr/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22">
    <w:name w:val="Body Text"/>
    <w:basedOn w:val="Normal"/>
    <w:next w:val="Normal"/>
    <w:pPr>
      <w:ind w:left="0" w:right="0" w:hanging="0"/>
      <w:jc w:val="both"/>
    </w:pPr>
    <w:rPr>
      <w:sz w:val="22"/>
    </w:rPr>
  </w:style>
  <w:style w:type="paragraph" w:styleId="Style23">
    <w:name w:val="List"/>
    <w:basedOn w:val="Style22"/>
    <w:pPr/>
    <w:rPr>
      <w:rFonts w:cs="Arial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Arial"/>
    </w:rPr>
  </w:style>
  <w:style w:type="paragraph" w:styleId="Style26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7">
    <w:name w:val="Header"/>
    <w:basedOn w:val="Normal"/>
    <w:pPr>
      <w:tabs>
        <w:tab w:val="clear" w:pos="708"/>
        <w:tab w:val="center" w:pos="4153" w:leader="none"/>
        <w:tab w:val="right" w:pos="8306" w:leader="none"/>
      </w:tabs>
      <w:spacing w:before="120" w:after="240"/>
      <w:jc w:val="center"/>
    </w:pPr>
    <w:rPr>
      <w:b/>
      <w:caps/>
      <w:sz w:val="28"/>
    </w:rPr>
  </w:style>
  <w:style w:type="paragraph" w:styleId="Style28">
    <w:name w:val="Footer"/>
    <w:basedOn w:val="Normal"/>
    <w:pPr>
      <w:tabs>
        <w:tab w:val="clear" w:pos="708"/>
        <w:tab w:val="center" w:pos="4153" w:leader="none"/>
        <w:tab w:val="right" w:pos="8306" w:leader="none"/>
      </w:tabs>
    </w:pPr>
    <w:rPr/>
  </w:style>
  <w:style w:type="paragraph" w:styleId="Style29">
    <w:name w:val="Название объекта"/>
    <w:basedOn w:val="Normal"/>
    <w:next w:val="Normal"/>
    <w:qFormat/>
    <w:pPr>
      <w:jc w:val="center"/>
    </w:pPr>
    <w:rPr>
      <w:b/>
      <w:sz w:val="28"/>
    </w:rPr>
  </w:style>
  <w:style w:type="paragraph" w:styleId="2">
    <w:name w:val="Основной текст 2"/>
    <w:basedOn w:val="Normal"/>
    <w:qFormat/>
    <w:pPr>
      <w:spacing w:before="120" w:after="0"/>
      <w:ind w:left="0" w:right="5102" w:hanging="0"/>
      <w:jc w:val="center"/>
    </w:pPr>
    <w:rPr/>
  </w:style>
  <w:style w:type="paragraph" w:styleId="Style30">
    <w:name w:val="Обращение"/>
    <w:basedOn w:val="Normal"/>
    <w:next w:val="Normal"/>
    <w:qFormat/>
    <w:pPr>
      <w:spacing w:before="240" w:after="120"/>
      <w:ind w:left="0" w:right="0" w:hanging="0"/>
      <w:jc w:val="center"/>
    </w:pPr>
    <w:rPr>
      <w:b/>
    </w:rPr>
  </w:style>
  <w:style w:type="paragraph" w:styleId="Style31">
    <w:name w:val="Адресные реквизиты"/>
    <w:basedOn w:val="Style22"/>
    <w:next w:val="Style22"/>
    <w:qFormat/>
    <w:pPr>
      <w:jc w:val="left"/>
    </w:pPr>
    <w:rPr>
      <w:sz w:val="16"/>
    </w:rPr>
  </w:style>
  <w:style w:type="paragraph" w:styleId="Style32">
    <w:name w:val="Адресат"/>
    <w:basedOn w:val="Normal"/>
    <w:qFormat/>
    <w:pPr>
      <w:spacing w:before="120" w:after="0"/>
      <w:ind w:left="0" w:right="0" w:hanging="0"/>
    </w:pPr>
    <w:rPr>
      <w:b/>
    </w:rPr>
  </w:style>
  <w:style w:type="paragraph" w:styleId="31">
    <w:name w:val="Основной текст 3"/>
    <w:basedOn w:val="Normal"/>
    <w:qFormat/>
    <w:pPr>
      <w:tabs>
        <w:tab w:val="clear" w:pos="708"/>
        <w:tab w:val="left" w:pos="7371" w:leader="none"/>
      </w:tabs>
      <w:spacing w:before="120" w:after="0"/>
      <w:ind w:left="0" w:right="0" w:hanging="0"/>
    </w:pPr>
    <w:rPr>
      <w:sz w:val="28"/>
    </w:rPr>
  </w:style>
  <w:style w:type="paragraph" w:styleId="1">
    <w:name w:val="Знак1 Знак Знак Знак"/>
    <w:basedOn w:val="Normal"/>
    <w:qFormat/>
    <w:pPr>
      <w:ind w:left="0" w:right="0" w:hanging="0"/>
    </w:pPr>
    <w:rPr>
      <w:rFonts w:ascii="Verdana" w:hAnsi="Verdana" w:cs="Verdana"/>
      <w:sz w:val="20"/>
      <w:lang w:val="en-US"/>
    </w:rPr>
  </w:style>
  <w:style w:type="paragraph" w:styleId="Style33">
    <w:name w:val="Исполнитель"/>
    <w:basedOn w:val="Normal"/>
    <w:qFormat/>
    <w:pPr>
      <w:ind w:left="0" w:right="0" w:hanging="0"/>
    </w:pPr>
    <w:rPr>
      <w:b/>
      <w:sz w:val="22"/>
      <w:szCs w:val="22"/>
    </w:rPr>
  </w:style>
  <w:style w:type="paragraph" w:styleId="311">
    <w:name w:val="Основной текст (3)1"/>
    <w:basedOn w:val="Normal"/>
    <w:qFormat/>
    <w:pPr>
      <w:shd w:val="clear" w:fill="FFFFFF"/>
      <w:spacing w:lineRule="atLeast" w:line="240"/>
      <w:ind w:left="0" w:right="0" w:hanging="0"/>
    </w:pPr>
    <w:rPr>
      <w:sz w:val="19"/>
      <w:szCs w:val="19"/>
    </w:rPr>
  </w:style>
  <w:style w:type="paragraph" w:styleId="ConsPlusNormal">
    <w:name w:val="ConsPlus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Style3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35">
    <w:name w:val="Footnote Text"/>
    <w:basedOn w:val="Normal"/>
    <w:pPr/>
    <w:rPr>
      <w:sz w:val="20"/>
    </w:rPr>
  </w:style>
  <w:style w:type="paragraph" w:styleId="Style36">
    <w:name w:val="Endnote Text"/>
    <w:basedOn w:val="Normal"/>
    <w:pPr/>
    <w:rPr>
      <w:sz w:val="20"/>
    </w:rPr>
  </w:style>
  <w:style w:type="paragraph" w:styleId="Style37">
    <w:name w:val="Содержимое таблицы"/>
    <w:basedOn w:val="Normal"/>
    <w:qFormat/>
    <w:pPr>
      <w:widowControl w:val="false"/>
      <w:suppressLineNumbers/>
    </w:pPr>
    <w:rPr/>
  </w:style>
  <w:style w:type="paragraph" w:styleId="Style38">
    <w:name w:val="Заголовок таблицы"/>
    <w:basedOn w:val="Style37"/>
    <w:qFormat/>
    <w:pPr>
      <w:suppressLineNumbers/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485</TotalTime>
  <Application>LibreOffice/7.5.1.2$Windows_X86_64 LibreOffice_project/fcbaee479e84c6cd81291587d2ee68cba099e129</Application>
  <AppVersion>15.0000</AppVersion>
  <Pages>5</Pages>
  <Words>1865</Words>
  <Characters>13971</Characters>
  <CharactersWithSpaces>15724</CharactersWithSpaces>
  <Paragraphs>121</Paragraphs>
  <Company>КонсультантПлюс Версия 4023.00.09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2023-10-23T15:32:00Z</dcterms:created>
  <dc:creator>mazaeva</dc:creator>
  <dc:description/>
  <dc:language>ru-RU</dc:language>
  <cp:lastModifiedBy/>
  <cp:lastPrinted>2023-11-17T15:47:00Z</cp:lastPrinted>
  <dcterms:modified xsi:type="dcterms:W3CDTF">2024-01-16T17:41:37Z</dcterms:modified>
  <cp:revision>46</cp:revision>
  <dc:subject/>
  <dc:title>Распоряжение Администрации Томской области от 16.05.2013 N 393-ра(ред. от 16.05.2023)"Об утверждении Перечня государственных услуг, предоставляемых исполнительными органами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форме"(вместе с "Перечнем государственных у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