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0B7101" w:rsidRDefault="000B7101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0B7101">
        <w:rPr>
          <w:rFonts w:ascii="PT Astra Serif" w:hAnsi="PT Astra Serif"/>
          <w:sz w:val="28"/>
          <w:szCs w:val="28"/>
        </w:rPr>
        <w:t>Решением Томского областного суда от 18.04.2017 по делу № 3а-25/2017 удовлетворено административное исковое заявление (информация скрыта) о признании недействующим в части пункта 144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28.11.2016 «Об определении перечня объектов для целей налогообложения на 2017 год».</w:t>
      </w:r>
      <w:proofErr w:type="gramEnd"/>
    </w:p>
    <w:sectPr w:rsidR="000B7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B7101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8640E"/>
    <w:rsid w:val="002A5BA0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D0DC0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8E227C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B50A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2023-08-24T07:16:00Z</dcterms:created>
  <dcterms:modified xsi:type="dcterms:W3CDTF">2023-08-24T07:16:00Z</dcterms:modified>
</cp:coreProperties>
</file>