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ind w:right="-1"/>
        <w:jc w:val="center"/>
        <w:spacing w:lineRule="auto" w:line="36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 реализации </w:t>
      </w:r>
      <w:r>
        <w:rPr>
          <w:rFonts w:ascii="PT Astra Serif" w:hAnsi="PT Astra Serif" w:eastAsia="Calibri"/>
          <w:b/>
          <w:sz w:val="28"/>
          <w:szCs w:val="28"/>
        </w:rPr>
        <w:t xml:space="preserve">план</w:t>
      </w:r>
      <w:r>
        <w:rPr>
          <w:rFonts w:ascii="PT Astra Serif" w:hAnsi="PT Astra Serif" w:eastAsia="Calibri"/>
          <w:b/>
          <w:sz w:val="28"/>
          <w:szCs w:val="28"/>
        </w:rPr>
        <w:t xml:space="preserve">а</w:t>
      </w:r>
      <w:r>
        <w:rPr>
          <w:rFonts w:ascii="PT Astra Serif" w:hAnsi="PT Astra Serif" w:eastAsia="Calibri"/>
          <w:b/>
          <w:sz w:val="28"/>
          <w:szCs w:val="28"/>
        </w:rPr>
        <w:t xml:space="preserve"> законотворческой деятельности Администрации Томской области и иных исполнительных органов государственной власти Томской области на 20</w:t>
      </w:r>
      <w:r>
        <w:rPr>
          <w:rFonts w:ascii="PT Astra Serif" w:hAnsi="PT Astra Serif" w:eastAsia="Calibri"/>
          <w:b/>
          <w:sz w:val="28"/>
          <w:szCs w:val="28"/>
        </w:rPr>
        <w:t xml:space="preserve">2</w:t>
      </w:r>
      <w:r>
        <w:rPr>
          <w:rFonts w:ascii="PT Astra Serif" w:hAnsi="PT Astra Serif" w:eastAsia="Calibri"/>
          <w:b/>
          <w:sz w:val="28"/>
          <w:szCs w:val="28"/>
        </w:rPr>
        <w:t xml:space="preserve">2</w:t>
      </w:r>
      <w:r>
        <w:rPr>
          <w:rFonts w:ascii="PT Astra Serif" w:hAnsi="PT Astra Serif" w:eastAsia="Calibri"/>
          <w:b/>
          <w:sz w:val="28"/>
          <w:szCs w:val="28"/>
        </w:rPr>
        <w:t xml:space="preserve"> </w:t>
      </w:r>
      <w:r>
        <w:rPr>
          <w:rFonts w:ascii="PT Astra Serif" w:hAnsi="PT Astra Serif" w:eastAsia="Calibri"/>
          <w:b/>
          <w:sz w:val="28"/>
          <w:szCs w:val="28"/>
        </w:rPr>
        <w:t xml:space="preserve">год</w:t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Normal"/>
        <w:ind w:right="-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right="-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right="-1" w:firstLine="540"/>
        <w:jc w:val="both"/>
        <w:spacing w:lineRule="auto" w:line="36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</w:t>
      </w:r>
      <w:r>
        <w:rPr>
          <w:rFonts w:ascii="PT Astra Serif" w:hAnsi="PT Astra Serif"/>
          <w:sz w:val="28"/>
          <w:szCs w:val="28"/>
        </w:rPr>
        <w:t xml:space="preserve">ля эффективного взаимодействия </w:t>
      </w:r>
      <w:r>
        <w:rPr>
          <w:rFonts w:ascii="PT Astra Serif" w:hAnsi="PT Astra Serif"/>
          <w:sz w:val="28"/>
          <w:szCs w:val="28"/>
        </w:rPr>
        <w:t xml:space="preserve">с Законодательной Думой Томской области </w:t>
      </w:r>
      <w:r>
        <w:rPr>
          <w:rFonts w:ascii="PT Astra Serif" w:hAnsi="PT Astra Serif"/>
          <w:sz w:val="28"/>
          <w:szCs w:val="28"/>
        </w:rPr>
        <w:t xml:space="preserve">в</w:t>
      </w:r>
      <w:r>
        <w:rPr>
          <w:rFonts w:ascii="PT Astra Serif" w:hAnsi="PT Astra Serif" w:eastAsia="Calibri"/>
          <w:sz w:val="28"/>
          <w:szCs w:val="28"/>
        </w:rPr>
        <w:t xml:space="preserve"> соответствии со статьей 13 Закона Томской области от 7 марта 2002 года № 9-ОЗ «О нормативных правовых актах Томской области», в целях обеспечения качественной и своевременной подготовки проектов правовых актов Томской области для внесения Губернатором Томской области </w:t>
      </w:r>
      <w:r>
        <w:rPr>
          <w:rFonts w:ascii="PT Astra Serif" w:hAnsi="PT Astra Serif" w:eastAsia="Calibri"/>
          <w:sz w:val="28"/>
          <w:szCs w:val="28"/>
        </w:rPr>
        <w:t xml:space="preserve">                            </w:t>
      </w:r>
      <w:r>
        <w:rPr>
          <w:rFonts w:ascii="PT Astra Serif" w:hAnsi="PT Astra Serif" w:eastAsia="Calibri"/>
          <w:sz w:val="28"/>
          <w:szCs w:val="28"/>
        </w:rPr>
        <w:t xml:space="preserve">в Законодательную Думу Томской области в порядке реализации права законодательной инициативы,</w:t>
      </w:r>
      <w:r>
        <w:rPr>
          <w:rFonts w:ascii="PT Astra Serif" w:hAnsi="PT Astra Serif"/>
          <w:sz w:val="28"/>
          <w:szCs w:val="28"/>
        </w:rPr>
        <w:t xml:space="preserve"> ежегодно </w:t>
      </w:r>
      <w:r>
        <w:rPr>
          <w:rFonts w:ascii="PT Astra Serif" w:hAnsi="PT Astra Serif"/>
          <w:sz w:val="28"/>
          <w:szCs w:val="28"/>
        </w:rPr>
        <w:t xml:space="preserve">разрабатывается и </w:t>
      </w:r>
      <w:r>
        <w:rPr>
          <w:rFonts w:ascii="PT Astra Serif" w:hAnsi="PT Astra Serif" w:eastAsia="Calibri"/>
          <w:sz w:val="28"/>
          <w:szCs w:val="28"/>
        </w:rPr>
        <w:t xml:space="preserve">распоряжением Губернатора Томской области </w:t>
      </w:r>
      <w:r>
        <w:rPr>
          <w:rFonts w:ascii="PT Astra Serif" w:hAnsi="PT Astra Serif"/>
          <w:sz w:val="28"/>
          <w:szCs w:val="28"/>
        </w:rPr>
        <w:t xml:space="preserve">утверждается план законотворческой деятельности Администрации Томской области и иных исполнительных органов государственной власти Томской области.</w:t>
      </w:r>
    </w:p>
    <w:p>
      <w:pPr>
        <w:pStyle w:val="UserStyle_12"/>
        <w:ind w:right="-1" w:firstLine="709"/>
        <w:jc w:val="both"/>
        <w:spacing w:lineRule="auto" w:line="36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</w:t>
      </w:r>
      <w:r>
        <w:rPr>
          <w:rFonts w:ascii="PT Astra Serif" w:hAnsi="PT Astra Serif"/>
          <w:sz w:val="28"/>
          <w:szCs w:val="28"/>
        </w:rPr>
        <w:t xml:space="preserve">аспоряжением Губернатора Томской области от 26.11.2021 № 269-р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(в ред.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от 30.12.2022 № 312-р)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утвержден</w:t>
      </w:r>
      <w:r>
        <w:rPr>
          <w:rFonts w:ascii="PT Astra Serif" w:hAnsi="PT Astra Serif"/>
          <w:sz w:val="28"/>
          <w:szCs w:val="28"/>
        </w:rPr>
        <w:t xml:space="preserve"> п</w:t>
      </w:r>
      <w:r>
        <w:rPr>
          <w:rFonts w:ascii="PT Astra Serif" w:hAnsi="PT Astra Serif"/>
          <w:sz w:val="28"/>
          <w:szCs w:val="28"/>
        </w:rPr>
        <w:t xml:space="preserve">лан законотворческой деятельности Администрации Томской области и иных исполнительных органов государственной власти Томской области</w:t>
      </w:r>
      <w:r>
        <w:rPr>
          <w:rFonts w:ascii="PT Astra Serif" w:hAnsi="PT Astra Serif"/>
          <w:sz w:val="28"/>
          <w:szCs w:val="28"/>
        </w:rPr>
        <w:t xml:space="preserve"> на 2022 год (далее – План).</w:t>
      </w:r>
    </w:p>
    <w:p>
      <w:pPr>
        <w:pStyle w:val="UserStyle_12"/>
        <w:ind w:right="-1" w:firstLine="709"/>
        <w:jc w:val="both"/>
        <w:spacing w:lineRule="auto" w:line="36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Проекты нормативных правовых актов, указанных в Плане в установленные сроки были подготовлены и направлены </w:t>
      </w:r>
      <w:r>
        <w:rPr>
          <w:rFonts w:ascii="PT Astra Serif" w:hAnsi="PT Astra Serif"/>
          <w:sz w:val="28"/>
          <w:szCs w:val="28"/>
        </w:rPr>
        <w:t xml:space="preserve">в Законодательную Думу Томской области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План исполнен в полном объеме.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firstLine="540"/>
        <w:jc w:val="both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ab/>
      </w:r>
    </w:p>
    <w:sectPr>
      <w:headerReference w:type="even" r:id="rId7"/>
      <w:headerReference w:type="default" r:id="rId8"/>
      <w:type w:val="nextPage"/>
      <w:pgSz w:w="11906" w:h="16838"/>
      <w:pgMar w:top="1134" w:right="707" w:bottom="1134" w:left="1701" w:header="539" w:footer="720" w:gutter="0"/>
      <w:cols w:space="708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Style w:val="PageNumber"/>
      </w:rPr>
      <w:framePr w:wrap="around" w:vAnchor="text" w:hAnchor="margin" w:xAlign="center" w:y="1"/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 xml:space="preserve">4</w:t>
    </w:r>
    <w:r>
      <w:rPr>
        <w:rStyle w:val="PageNumber"/>
      </w:rPr>
      <w:fldChar w:fldCharType="end"/>
    </w:r>
    <w:r>
      <w:rPr>
        <w:rStyle w:val="PageNumber"/>
      </w:rPr>
    </w:r>
  </w:p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Style w:val="PageNumber"/>
      </w:rPr>
      <w:framePr w:wrap="around" w:vAnchor="text" w:hAnchor="margin" w:xAlign="center" w:y="1"/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 xml:space="preserve">2</w:t>
    </w:r>
    <w:r>
      <w:rPr>
        <w:rStyle w:val="PageNumber"/>
      </w:rPr>
      <w:fldChar w:fldCharType="end"/>
    </w:r>
    <w:r>
      <w:rPr>
        <w:rStyle w:val="PageNumber"/>
      </w:rPr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</w:pPr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5"/>
        <w:szCs w:val="25"/>
        <w:u w:val="none"/>
      </w:rPr>
    </w:lvl>
    <w:lvl w:ilvl="1">
      <w:start w:val="1"/>
      <w:numFmt w:val="decimal"/>
      <w:suff w:val="tab"/>
      <w:lvlText w:val="%1)"/>
      <w:lvlJc w:val="left"/>
      <w:pPr>
        <w:pStyle w:val="Normal"/>
      </w:pPr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5"/>
        <w:szCs w:val="25"/>
        <w:u w:val="none"/>
      </w:rPr>
    </w:lvl>
    <w:lvl w:ilvl="2">
      <w:start w:val="1"/>
      <w:numFmt w:val="decimal"/>
      <w:suff w:val="tab"/>
      <w:lvlText w:val="%1)"/>
      <w:lvlJc w:val="left"/>
      <w:pPr>
        <w:pStyle w:val="Normal"/>
      </w:pPr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5"/>
        <w:szCs w:val="25"/>
        <w:u w:val="none"/>
      </w:rPr>
    </w:lvl>
    <w:lvl w:ilvl="3">
      <w:start w:val="1"/>
      <w:numFmt w:val="decimal"/>
      <w:suff w:val="tab"/>
      <w:lvlText w:val="%1)"/>
      <w:lvlJc w:val="left"/>
      <w:pPr>
        <w:pStyle w:val="Normal"/>
      </w:pPr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5"/>
        <w:szCs w:val="25"/>
        <w:u w:val="none"/>
      </w:rPr>
    </w:lvl>
    <w:lvl w:ilvl="4">
      <w:start w:val="1"/>
      <w:numFmt w:val="decimal"/>
      <w:suff w:val="tab"/>
      <w:lvlText w:val="%1)"/>
      <w:lvlJc w:val="left"/>
      <w:pPr>
        <w:pStyle w:val="Normal"/>
      </w:pPr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5"/>
        <w:szCs w:val="25"/>
        <w:u w:val="none"/>
      </w:rPr>
    </w:lvl>
    <w:lvl w:ilvl="5">
      <w:start w:val="1"/>
      <w:numFmt w:val="decimal"/>
      <w:suff w:val="tab"/>
      <w:lvlText w:val="%1)"/>
      <w:lvlJc w:val="left"/>
      <w:pPr>
        <w:pStyle w:val="Normal"/>
      </w:pPr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5"/>
        <w:szCs w:val="25"/>
        <w:u w:val="none"/>
      </w:rPr>
    </w:lvl>
    <w:lvl w:ilvl="6">
      <w:start w:val="1"/>
      <w:numFmt w:val="decimal"/>
      <w:suff w:val="tab"/>
      <w:lvlText w:val="%1)"/>
      <w:lvlJc w:val="left"/>
      <w:pPr>
        <w:pStyle w:val="Normal"/>
      </w:pPr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5"/>
        <w:szCs w:val="25"/>
        <w:u w:val="none"/>
      </w:rPr>
    </w:lvl>
    <w:lvl w:ilvl="7">
      <w:start w:val="1"/>
      <w:numFmt w:val="decimal"/>
      <w:suff w:val="tab"/>
      <w:lvlText w:val="%1)"/>
      <w:lvlJc w:val="left"/>
      <w:pPr>
        <w:pStyle w:val="Normal"/>
      </w:pPr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5"/>
        <w:szCs w:val="25"/>
        <w:u w:val="none"/>
      </w:rPr>
    </w:lvl>
    <w:lvl w:ilvl="8">
      <w:start w:val="1"/>
      <w:numFmt w:val="decimal"/>
      <w:suff w:val="tab"/>
      <w:lvlText w:val="%1)"/>
      <w:lvlJc w:val="left"/>
      <w:pPr>
        <w:pStyle w:val="Normal"/>
      </w:pPr>
      <w:rPr>
        <w:b w:val="false"/>
        <w:bCs w:val="false"/>
        <w:i w:val="false"/>
        <w:iCs w:val="false"/>
        <w:smallCaps w:val="false"/>
        <w:strike w:val="false"/>
        <w:color w:val="000000"/>
        <w:spacing w:val="0"/>
        <w:position w:val="0"/>
        <w:sz w:val="25"/>
        <w:szCs w:val="25"/>
        <w:u w:val="no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670" w:hanging="360"/>
        <w:tabs>
          <w:tab w:val="num" w:pos="670" w:leader="none"/>
        </w:tabs>
      </w:p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26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98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0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2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4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6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58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0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20" w:hanging="180"/>
      </w:p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781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501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221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941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61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81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101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821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541" w:hanging="180"/>
      </w:pPr>
    </w:lvl>
  </w:abstractNum>
  <w:abstractNum w:abstractNumId="4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1440" w:hanging="360"/>
        <w:tabs>
          <w:tab w:val="num" w:pos="1440" w:leader="none"/>
        </w:tabs>
      </w:pPr>
      <w:rPr>
        <w:rFonts w:ascii="Symbol" w:hAnsi="Symbol"/>
        <w:color w:val="FF0000"/>
      </w:rPr>
    </w:lvl>
    <w:lvl w:ilvl="1">
      <w:start w:val="1"/>
      <w:numFmt w:val="bullet"/>
      <w:suff w:val="tab"/>
      <w:lvlText w:val="o"/>
      <w:lvlJc w:val="left"/>
      <w:pPr>
        <w:pStyle w:val="Normal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720" w:hanging="360"/>
        <w:tabs>
          <w:tab w:val="num" w:pos="720" w:leader="none"/>
        </w:tabs>
      </w:pPr>
      <w:rPr>
        <w:rFonts w:ascii="Symbol" w:hAnsi="Symbol"/>
        <w:color w:val="FF0000"/>
      </w:r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  <w:tabs>
          <w:tab w:val="num" w:pos="1440" w:leader="none"/>
        </w:tabs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  <w:tabs>
          <w:tab w:val="num" w:pos="2160" w:leader="none"/>
        </w:tabs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  <w:tabs>
          <w:tab w:val="num" w:pos="2880" w:leader="none"/>
        </w:tabs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  <w:tabs>
          <w:tab w:val="num" w:pos="3600" w:leader="none"/>
        </w:tabs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  <w:tabs>
          <w:tab w:val="num" w:pos="4320" w:leader="none"/>
        </w:tabs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  <w:tabs>
          <w:tab w:val="num" w:pos="5040" w:leader="none"/>
        </w:tabs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  <w:tabs>
          <w:tab w:val="num" w:pos="5760" w:leader="none"/>
        </w:tabs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1860" w:hanging="1140"/>
        <w:tabs>
          <w:tab w:val="num" w:pos="1860" w:leader="none"/>
        </w:tabs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800" w:hanging="360"/>
        <w:tabs>
          <w:tab w:val="num" w:pos="1800" w:leader="none"/>
        </w:tabs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520" w:hanging="180"/>
        <w:tabs>
          <w:tab w:val="num" w:pos="2520" w:leader="none"/>
        </w:tabs>
      </w:pPr>
    </w:lvl>
    <w:lvl w:ilvl="3">
      <w:start w:val="1"/>
      <w:numFmt w:val="decimal"/>
      <w:suff w:val="tab"/>
      <w:lvlText w:val="%4."/>
      <w:lvlJc w:val="left"/>
      <w:pPr>
        <w:pStyle w:val="Normal"/>
        <w:ind w:left="3240" w:hanging="360"/>
        <w:tabs>
          <w:tab w:val="num" w:pos="3240" w:leader="none"/>
        </w:tabs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960" w:hanging="360"/>
        <w:tabs>
          <w:tab w:val="num" w:pos="3960" w:leader="none"/>
        </w:tabs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680" w:hanging="180"/>
        <w:tabs>
          <w:tab w:val="num" w:pos="4680" w:leader="none"/>
        </w:tabs>
      </w:pPr>
    </w:lvl>
    <w:lvl w:ilvl="6">
      <w:start w:val="1"/>
      <w:numFmt w:val="decimal"/>
      <w:suff w:val="tab"/>
      <w:lvlText w:val="%7."/>
      <w:lvlJc w:val="left"/>
      <w:pPr>
        <w:pStyle w:val="Normal"/>
        <w:ind w:left="5400" w:hanging="360"/>
        <w:tabs>
          <w:tab w:val="num" w:pos="5400" w:leader="none"/>
        </w:tabs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120" w:hanging="360"/>
        <w:tabs>
          <w:tab w:val="num" w:pos="6120" w:leader="none"/>
        </w:tabs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840" w:hanging="180"/>
        <w:tabs>
          <w:tab w:val="num" w:pos="6840" w:leader="none"/>
        </w:tabs>
      </w:pPr>
    </w:lvl>
  </w:abstractNum>
  <w:abstractNum w:abstractNumId="7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781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501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221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941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61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81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101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821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541" w:hanging="180"/>
      </w:pPr>
    </w:lvl>
  </w:abstractNum>
  <w:abstractNum w:abstractNumId="8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792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512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232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952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72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92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112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832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552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defaultTabStop w:val="708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Обычный"/>
    <w:next w:val="Normal"/>
    <w:link w:val="Normal"/>
    <w:rPr>
      <w:rFonts w:ascii="Times New Roman" w:hAnsi="Times New Roman" w:eastAsia="Times New Roman"/>
      <w:lang w:val="ru-RU" w:bidi="ar-SA" w:eastAsia="ru-RU"/>
    </w:rPr>
  </w:style>
  <w:style w:type="paragraph" w:styleId="Heading1">
    <w:name w:val="Заголовок 1"/>
    <w:basedOn w:val="Normal"/>
    <w:next w:val="Normal"/>
    <w:link w:val="Normal"/>
    <w:rPr>
      <w:rFonts w:ascii="Arial" w:hAnsi="Arial"/>
      <w:b/>
      <w:bCs/>
      <w:sz w:val="32"/>
      <w:szCs w:val="32"/>
    </w:rPr>
    <w:pPr>
      <w:keepNext/>
      <w:spacing w:after="60" w:before="240"/>
      <w:outlineLvl w:val="0"/>
    </w:pPr>
  </w:style>
  <w:style w:type="paragraph" w:styleId="Heading2">
    <w:name w:val="Заголовок 2"/>
    <w:basedOn w:val="Normal"/>
    <w:next w:val="Heading2"/>
    <w:link w:val="Normal"/>
    <w:rPr>
      <w:b/>
      <w:bCs/>
      <w:sz w:val="36"/>
      <w:szCs w:val="36"/>
    </w:rPr>
    <w:pPr>
      <w:spacing w:after="100" w:afterAutospacing="1" w:before="100" w:beforeAutospacing="1"/>
      <w:outlineLvl w:val="1"/>
    </w:p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paragraph" w:styleId="Header">
    <w:name w:val="Верхний колонтитул"/>
    <w:basedOn w:val="Normal"/>
    <w:next w:val="Header"/>
    <w:link w:val="UserStyle_0"/>
    <w:rPr>
      <w:sz w:val="24"/>
      <w:lang w:val="en-US"/>
    </w:rPr>
    <w:pPr>
      <w:tabs>
        <w:tab w:val="center" w:pos="4153" w:leader="none"/>
        <w:tab w:val="right" w:pos="8306" w:leader="none"/>
      </w:tabs>
    </w:pPr>
  </w:style>
  <w:style w:type="character" w:styleId="UserStyle_0">
    <w:name w:val="Верхний колонтитул Знак"/>
    <w:next w:val="UserStyle_0"/>
    <w:link w:val="Header"/>
    <w:rPr>
      <w:rFonts w:ascii="Times New Roman" w:hAnsi="Times New Roman" w:eastAsia="Times New Roman"/>
      <w:sz w:val="24"/>
      <w:szCs w:val="20"/>
      <w:lang w:eastAsia="ru-RU"/>
    </w:rPr>
  </w:style>
  <w:style w:type="paragraph" w:styleId="UserStyle_1">
    <w:name w:val="Адресные реквизиты"/>
    <w:basedOn w:val="BodyText"/>
    <w:next w:val="BodyText"/>
    <w:link w:val="Normal"/>
    <w:rPr>
      <w:sz w:val="16"/>
    </w:rPr>
    <w:pPr>
      <w:spacing w:after="0"/>
    </w:pPr>
  </w:style>
  <w:style w:type="character" w:styleId="PageNumber">
    <w:name w:val="Номер страницы"/>
    <w:basedOn w:val="NormalCharacter"/>
    <w:next w:val="PageNumber"/>
    <w:link w:val="Normal"/>
  </w:style>
  <w:style w:type="paragraph" w:styleId="UserStyle_2">
    <w:name w:val="Обращение"/>
    <w:basedOn w:val="Normal"/>
    <w:next w:val="Normal"/>
    <w:link w:val="Normal"/>
    <w:rPr>
      <w:b/>
      <w:sz w:val="26"/>
    </w:rPr>
    <w:pPr>
      <w:jc w:val="center"/>
      <w:spacing w:after="120" w:before="240"/>
    </w:pPr>
  </w:style>
  <w:style w:type="paragraph" w:styleId="UserStyle_3">
    <w:name w:val="Основной текст с отступом 22"/>
    <w:basedOn w:val="Normal"/>
    <w:next w:val="UserStyle_3"/>
    <w:link w:val="Normal"/>
    <w:rPr>
      <w:lang w:eastAsia="ar-SA"/>
    </w:rPr>
    <w:pPr>
      <w:ind w:left="-107"/>
    </w:pPr>
  </w:style>
  <w:style w:type="paragraph" w:styleId="UserStyle_4">
    <w:name w:val="ФИО"/>
    <w:basedOn w:val="Normal"/>
    <w:next w:val="UserStyle_4"/>
    <w:link w:val="UserStyle_5"/>
    <w:rPr>
      <w:b/>
      <w:sz w:val="24"/>
      <w:lang w:val="en-US"/>
    </w:rPr>
  </w:style>
  <w:style w:type="character" w:styleId="UserStyle_5">
    <w:name w:val="ФИО Знак"/>
    <w:next w:val="UserStyle_5"/>
    <w:link w:val="UserStyle_4"/>
    <w:rPr>
      <w:rFonts w:ascii="Times New Roman" w:hAnsi="Times New Roman" w:eastAsia="Times New Roman"/>
      <w:b/>
      <w:sz w:val="24"/>
      <w:szCs w:val="20"/>
      <w:lang w:eastAsia="ru-RU"/>
    </w:rPr>
  </w:style>
  <w:style w:type="paragraph" w:styleId="Footer">
    <w:name w:val="Нижний колонтитул"/>
    <w:basedOn w:val="Normal"/>
    <w:next w:val="Footer"/>
    <w:link w:val="UserStyle_6"/>
    <w:rPr>
      <w:lang w:val="en-US"/>
    </w:rPr>
    <w:pPr>
      <w:tabs>
        <w:tab w:val="center" w:pos="4677" w:leader="none"/>
        <w:tab w:val="right" w:pos="9355" w:leader="none"/>
      </w:tabs>
    </w:pPr>
  </w:style>
  <w:style w:type="character" w:styleId="UserStyle_6">
    <w:name w:val="Нижний колонтитул Знак"/>
    <w:next w:val="UserStyle_6"/>
    <w:link w:val="Footer"/>
    <w:rPr>
      <w:rFonts w:ascii="Times New Roman" w:hAnsi="Times New Roman" w:eastAsia="Times New Roman"/>
      <w:sz w:val="20"/>
      <w:szCs w:val="20"/>
      <w:lang w:eastAsia="ru-RU"/>
    </w:rPr>
  </w:style>
  <w:style w:type="paragraph" w:styleId="BodyText">
    <w:name w:val="Основной текст"/>
    <w:basedOn w:val="Normal"/>
    <w:next w:val="BodyText"/>
    <w:link w:val="UserStyle_7"/>
    <w:semiHidden/>
    <w:rPr>
      <w:lang w:val="en-US"/>
    </w:rPr>
    <w:pPr>
      <w:spacing w:after="120"/>
    </w:pPr>
  </w:style>
  <w:style w:type="character" w:styleId="UserStyle_7">
    <w:name w:val="Основной текст Знак"/>
    <w:next w:val="UserStyle_7"/>
    <w:link w:val="BodyText"/>
    <w:semiHidden/>
    <w:rPr>
      <w:rFonts w:ascii="Times New Roman" w:hAnsi="Times New Roman" w:eastAsia="Times New Roman"/>
      <w:sz w:val="20"/>
      <w:szCs w:val="20"/>
      <w:lang w:eastAsia="ru-RU"/>
    </w:rPr>
  </w:style>
  <w:style w:type="paragraph" w:styleId="179">
    <w:name w:val="Абзац списка"/>
    <w:basedOn w:val="Normal"/>
    <w:next w:val="179"/>
    <w:link w:val="Normal"/>
    <w:pPr>
      <w:contextualSpacing w:val="true"/>
      <w:ind w:left="720"/>
    </w:pPr>
  </w:style>
  <w:style w:type="paragraph" w:styleId="UserStyle_8">
    <w:name w:val="Основной текст с отступом 21"/>
    <w:basedOn w:val="Normal"/>
    <w:next w:val="UserStyle_8"/>
    <w:link w:val="Normal"/>
    <w:rPr>
      <w:sz w:val="24"/>
      <w:szCs w:val="24"/>
      <w:lang w:eastAsia="ar-SA"/>
    </w:rPr>
    <w:pPr>
      <w:ind w:left="-107"/>
    </w:pPr>
  </w:style>
  <w:style w:type="paragraph" w:styleId="UserStyle_9">
    <w:name w:val="ConsTitle"/>
    <w:next w:val="UserStyle_9"/>
    <w:link w:val="Normal"/>
    <w:rPr>
      <w:rFonts w:ascii="Arial" w:hAnsi="Arial" w:eastAsia="Times New Roman"/>
      <w:b/>
      <w:bCs/>
      <w:lang w:val="ru-RU" w:bidi="ar-SA" w:eastAsia="ru-RU"/>
    </w:rPr>
    <w:pPr>
      <w:ind w:right="19772"/>
      <w:widowControl w:val="off"/>
    </w:pPr>
  </w:style>
  <w:style w:type="paragraph" w:styleId="Acetate">
    <w:name w:val="Текст выноски"/>
    <w:basedOn w:val="Normal"/>
    <w:next w:val="Acetate"/>
    <w:link w:val="Normal"/>
    <w:semiHidden/>
    <w:rPr>
      <w:rFonts w:ascii="Tahoma" w:hAnsi="Tahoma"/>
      <w:sz w:val="16"/>
      <w:szCs w:val="16"/>
    </w:rPr>
  </w:style>
  <w:style w:type="character" w:styleId="Hyperlink">
    <w:name w:val="Гиперссылка"/>
    <w:next w:val="Hyperlink"/>
    <w:link w:val="Normal"/>
    <w:rPr>
      <w:color w:val="0000FF"/>
      <w:u w:val="single"/>
    </w:rPr>
  </w:style>
  <w:style w:type="character" w:styleId="UserStyle_10">
    <w:name w:val=" Знак Знак4"/>
    <w:next w:val="UserStyle_10"/>
    <w:link w:val="Normal"/>
    <w:rPr>
      <w:sz w:val="24"/>
      <w:lang w:val="ru-RU" w:bidi="ar-SA" w:eastAsia="ru-RU"/>
    </w:rPr>
  </w:style>
  <w:style w:type="paragraph" w:styleId="HtmlNormal">
    <w:name w:val="Обычный (веб)"/>
    <w:basedOn w:val="Normal"/>
    <w:next w:val="HtmlNormal"/>
    <w:link w:val="Normal"/>
    <w:rPr>
      <w:sz w:val="24"/>
      <w:szCs w:val="24"/>
    </w:rPr>
    <w:pPr>
      <w:spacing w:after="100" w:afterAutospacing="1" w:before="100" w:beforeAutospacing="1"/>
    </w:pPr>
  </w:style>
  <w:style w:type="character" w:styleId="UserStyle_11">
    <w:name w:val="Header Char"/>
    <w:next w:val="UserStyle_11"/>
    <w:link w:val="Normal"/>
    <w:locked/>
    <w:rPr>
      <w:sz w:val="24"/>
    </w:rPr>
  </w:style>
  <w:style w:type="paragraph" w:styleId="UserStyle_12">
    <w:name w:val="ConsPlusNormal"/>
    <w:next w:val="UserStyle_12"/>
    <w:link w:val="Normal"/>
    <w:rPr>
      <w:rFonts w:ascii="Arial" w:hAnsi="Arial" w:eastAsia="Times New Roman"/>
      <w:lang w:val="ru-RU" w:bidi="ar-SA" w:eastAsia="ru-RU"/>
    </w:rPr>
    <w:pPr>
      <w:ind w:firstLine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