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9"/>
        <w:pageBreakBefore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29"/>
        <w:jc w:val="center"/>
      </w:pPr>
      <w:bookmarkStart w:id="0" w:name="__DdeLink__457_6190937"/>
      <w:bookmarkStart w:id="1" w:name="Par204"/>
      <w:bookmarkEnd w:id="0"/>
      <w:bookmarkEnd w:id="1"/>
      <w:r>
        <w:rPr>
          <w:rFonts w:ascii="Times New Roman" w:cs="Times New Roman" w:hAnsi="Times New Roman"/>
          <w:sz w:val="28"/>
          <w:szCs w:val="28"/>
        </w:rPr>
        <w:t>Уведомление</w:t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rStyle w:val="style15"/>
          <w:rFonts w:ascii="Times New Roman" w:hAnsi="Times New Roman"/>
          <w:sz w:val="28"/>
          <w:szCs w:val="28"/>
        </w:rPr>
        <w:t>об обсуждении идеи (концепции) проекта закона «</w:t>
      </w:r>
      <w:r>
        <w:rPr>
          <w:rStyle w:val="style15"/>
          <w:rFonts w:ascii="Times New Roman" w:cs="Calibri" w:hAnsi="Times New Roman"/>
          <w:sz w:val="28"/>
          <w:szCs w:val="28"/>
        </w:rPr>
        <w:t xml:space="preserve">О внесении изменений в Закон Томской области от 05.05.2012 № 48-ОЗ «Об отдельных вопросах регулирования розничной продажи </w:t>
      </w:r>
      <w:r>
        <w:rPr>
          <w:rStyle w:val="style15"/>
          <w:rFonts w:ascii="Times New Roman" w:cs="Calibri" w:hAnsi="Times New Roman"/>
          <w:sz w:val="28"/>
          <w:szCs w:val="28"/>
        </w:rPr>
        <w:t>алкогольной продукции на территории Томской области»</w:t>
      </w:r>
    </w:p>
    <w:p>
      <w:pPr>
        <w:pStyle w:val="style29"/>
      </w:pPr>
      <w:r>
        <w:rPr>
          <w:rFonts w:ascii="Times New Roman" w:cs="Times New Roman" w:hAnsi="Times New Roman"/>
          <w:sz w:val="28"/>
          <w:szCs w:val="28"/>
        </w:rPr>
      </w:r>
    </w:p>
    <w:p>
      <w:pPr>
        <w:pStyle w:val="style29"/>
        <w:ind w:firstLine="708" w:left="0" w:right="0"/>
        <w:jc w:val="both"/>
      </w:pPr>
      <w:r>
        <w:rPr>
          <w:rStyle w:val="style15"/>
          <w:rFonts w:ascii="Times New Roman" w:cs="Times New Roman" w:hAnsi="Times New Roman"/>
          <w:sz w:val="28"/>
          <w:szCs w:val="28"/>
        </w:rPr>
        <w:t xml:space="preserve">Настоящим уведомлением Комитет по лицензированию Томской области </w:t>
      </w:r>
      <w:r>
        <w:rPr>
          <w:rStyle w:val="style15"/>
          <w:rFonts w:ascii="Times New Roman" w:hAnsi="Times New Roman"/>
          <w:sz w:val="28"/>
          <w:szCs w:val="28"/>
        </w:rPr>
        <w:t>извещает  о  начале  обсуждения  проекта закона «</w:t>
      </w:r>
      <w:r>
        <w:rPr>
          <w:rStyle w:val="style15"/>
          <w:rFonts w:ascii="Times New Roman" w:cs="Calibri" w:hAnsi="Times New Roman"/>
          <w:sz w:val="28"/>
          <w:szCs w:val="28"/>
        </w:rPr>
        <w:t>О внесении изменений в Закон Томской области  «Об отдельных вопросах регулирования розни</w:t>
      </w:r>
      <w:r>
        <w:rPr>
          <w:rStyle w:val="style15"/>
          <w:rFonts w:ascii="Times New Roman" w:cs="Calibri" w:hAnsi="Times New Roman"/>
          <w:sz w:val="28"/>
          <w:szCs w:val="28"/>
        </w:rPr>
        <w:t xml:space="preserve">чной продажи алкогольной продукции на территории Томской области» </w:t>
      </w:r>
      <w:r>
        <w:rPr>
          <w:rStyle w:val="style15"/>
          <w:rFonts w:ascii="Times New Roman" w:hAnsi="Times New Roman"/>
          <w:sz w:val="28"/>
          <w:szCs w:val="28"/>
        </w:rPr>
        <w:t>и сборе предложений заинтересованных лиц.</w:t>
      </w:r>
    </w:p>
    <w:p>
      <w:pPr>
        <w:pStyle w:val="style29"/>
        <w:ind w:firstLine="708" w:left="0" w:right="0"/>
        <w:jc w:val="both"/>
      </w:pPr>
      <w:r>
        <w:rPr>
          <w:rStyle w:val="style15"/>
          <w:rFonts w:ascii="Times New Roman" w:cs="Times New Roman" w:hAnsi="Times New Roman"/>
          <w:sz w:val="28"/>
          <w:szCs w:val="28"/>
        </w:rPr>
        <w:t xml:space="preserve">Предложения принимаются по адресу: 634021, Томская область, г. Томск, ул. Белинского, 19, кабинет № 17, а также по адресу электронной почты: </w:t>
      </w:r>
      <w:hyperlink r:id="rId2" w:tgtFrame="_top">
        <w:r>
          <w:rPr>
            <w:rStyle w:val="style15"/>
            <w:rStyle w:val="style17"/>
            <w:rFonts w:ascii="Times New Roman" w:cs="Times New Roman" w:hAnsi="Times New Roman"/>
            <w:sz w:val="28"/>
            <w:szCs w:val="28"/>
            <w:lang w:val="en-US"/>
          </w:rPr>
          <w:t>info</w:t>
        </w:r>
      </w:hyperlink>
      <w:hyperlink r:id="rId3" w:tgtFrame="_top">
        <w:r>
          <w:rPr>
            <w:rStyle w:val="style15"/>
            <w:rStyle w:val="style17"/>
            <w:rFonts w:ascii="Times New Roman" w:cs="Times New Roman" w:hAnsi="Times New Roman"/>
            <w:sz w:val="28"/>
            <w:szCs w:val="28"/>
          </w:rPr>
          <w:t>@</w:t>
        </w:r>
      </w:hyperlink>
      <w:hyperlink r:id="rId4" w:tgtFrame="_top">
        <w:r>
          <w:rPr>
            <w:rStyle w:val="style15"/>
            <w:rStyle w:val="style17"/>
            <w:rFonts w:ascii="Times New Roman" w:cs="Times New Roman" w:hAnsi="Times New Roman"/>
            <w:sz w:val="28"/>
            <w:szCs w:val="28"/>
            <w:lang w:val="en-US"/>
          </w:rPr>
          <w:t>palata</w:t>
        </w:r>
      </w:hyperlink>
      <w:hyperlink r:id="rId5" w:tgtFrame="_top">
        <w:r>
          <w:rPr>
            <w:rStyle w:val="style15"/>
            <w:rStyle w:val="style17"/>
            <w:rFonts w:ascii="Times New Roman" w:cs="Times New Roman" w:hAnsi="Times New Roman"/>
            <w:sz w:val="28"/>
            <w:szCs w:val="28"/>
          </w:rPr>
          <w:t>.</w:t>
        </w:r>
      </w:hyperlink>
      <w:hyperlink r:id="rId6" w:tgtFrame="_top">
        <w:r>
          <w:rPr>
            <w:rStyle w:val="style15"/>
            <w:rStyle w:val="style17"/>
            <w:rFonts w:ascii="Times New Roman" w:cs="Times New Roman" w:hAnsi="Times New Roman"/>
            <w:sz w:val="28"/>
            <w:szCs w:val="28"/>
            <w:lang w:val="en-US"/>
          </w:rPr>
          <w:t>tomsk</w:t>
        </w:r>
      </w:hyperlink>
      <w:hyperlink r:id="rId7" w:tgtFrame="_top">
        <w:r>
          <w:rPr>
            <w:rStyle w:val="style15"/>
            <w:rStyle w:val="style17"/>
            <w:rFonts w:ascii="Times New Roman" w:cs="Times New Roman" w:hAnsi="Times New Roman"/>
            <w:sz w:val="28"/>
            <w:szCs w:val="28"/>
          </w:rPr>
          <w:t>.</w:t>
        </w:r>
      </w:hyperlink>
      <w:hyperlink r:id="rId8" w:tgtFrame="_top">
        <w:r>
          <w:rPr>
            <w:rStyle w:val="style15"/>
            <w:rStyle w:val="style17"/>
            <w:rFonts w:ascii="Times New Roman" w:cs="Times New Roman" w:hAnsi="Times New Roman"/>
            <w:sz w:val="28"/>
            <w:szCs w:val="28"/>
            <w:lang w:val="en-US"/>
          </w:rPr>
          <w:t>ru</w:t>
        </w:r>
      </w:hyperlink>
      <w:r>
        <w:rPr>
          <w:rStyle w:val="style15"/>
          <w:rFonts w:ascii="Times New Roman" w:cs="Times New Roman" w:hAnsi="Times New Roman"/>
          <w:sz w:val="28"/>
          <w:szCs w:val="28"/>
        </w:rPr>
        <w:t>.</w:t>
      </w:r>
    </w:p>
    <w:p>
      <w:pPr>
        <w:pStyle w:val="style29"/>
        <w:ind w:firstLine="708" w:left="0" w:right="0"/>
      </w:pPr>
      <w:r>
        <w:rPr>
          <w:rFonts w:ascii="Times New Roman" w:cs="Times New Roman" w:hAnsi="Times New Roman"/>
          <w:sz w:val="28"/>
          <w:szCs w:val="28"/>
        </w:rPr>
        <w:t xml:space="preserve">Сроки приема предложений: с 27.10.2015 года до </w:t>
      </w:r>
      <w:r>
        <w:rPr>
          <w:rFonts w:ascii="Times New Roman" w:cs="Times New Roman" w:hAnsi="Times New Roman"/>
          <w:sz w:val="28"/>
          <w:szCs w:val="28"/>
          <w:lang w:val="en-US"/>
        </w:rPr>
        <w:t>10</w:t>
      </w:r>
      <w:r>
        <w:rPr>
          <w:rFonts w:ascii="Times New Roman" w:cs="Times New Roman" w:hAnsi="Times New Roman"/>
          <w:sz w:val="28"/>
          <w:szCs w:val="28"/>
        </w:rPr>
        <w:t>.11.2015 года.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Место  размещения уведомления об обсуждении идеи (концепции) подготовки проекта  нормативного  правового  акта в информационно-телекоммуникационной сети Интернет (полный электронный адрес): info@palata.tomsk.ru</w:t>
      </w:r>
    </w:p>
    <w:p>
      <w:pPr>
        <w:pStyle w:val="style29"/>
        <w:ind w:firstLine="708" w:left="0" w:right="0"/>
        <w:jc w:val="both"/>
      </w:pPr>
      <w:r>
        <w:rPr>
          <w:rStyle w:val="style15"/>
          <w:rFonts w:ascii="Times New Roman" w:cs="Times New Roman" w:hAnsi="Times New Roman"/>
          <w:sz w:val="28"/>
          <w:szCs w:val="28"/>
        </w:rPr>
        <w:t xml:space="preserve">Все  поступившие  предложения  будут  рассмотрены.  Сводка предложений будет размещена на сайте: www.palata.tomsk.ru не позднее </w:t>
      </w:r>
      <w:r>
        <w:rPr>
          <w:rStyle w:val="style15"/>
          <w:rFonts w:ascii="Times New Roman" w:cs="Times New Roman" w:hAnsi="Times New Roman"/>
          <w:sz w:val="28"/>
          <w:szCs w:val="28"/>
        </w:rPr>
        <w:t>16.11.2015 года.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Описание  проблемы,  на  решение  которой  направлено  предлагаемое правовое регулирование: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Проектом закона Томской области «О внесении изменений в Закон Томской области от 05.05.2012 № 48-ОЗ «Об отдельных вопросах регулирования розничной продажи алкогольной продукции на территории Томской области» (далее – проект закона) предлагается запретить продажу алкогольной продукции осуществляемой организациями и розничную продажу пива и пивных напитков, сидра, пуаре и медовухи, осуществляемой индивидуальными предпринимателями, при оказании  организациями и индивидуальными предпринимателями услуг общественного питания, не имеющих обособленного зала обслуживания потребителей, имеющих в зале обслуживания менее 6 столов и 24 посадочных мест, оборудованных для обслуживания потребителей, в закрытой таре без розлива, на вынос.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В соответствии с абзацем вторым пункта 5 статьи 16 Федерального закона 22 ноября 1995 года 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 (далее – Федеральный закон № 171-ФЗ) органы государственной власти субъектов Российской Федерации вправе устанавливать дополнительные ограничения времени, условий и мест розничной продажи алкогольной продукции, в том числе полный запрет на розничную продажу алкогольной продукции.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Согласно абзацу десятому пункта 2 статьи 16 Федерального закона </w:t>
        <w:br/>
        <w:t>№ 171-ФЗ одним из ограничений в области розничной продажи алкогольной продукции установлен запрет на продажу алкогольной продукции с 23 часов до 8 часов по местному времени. Исключением является розничная продажа алкогольной продукции, осуществляемая организациями, и розничная продажа пива и пивных напитков, сидра, пуаре, медовухи, осуществляемая индивидуальными предпринимателями, при оказании такими организациями и индивидуальными предпринимателями услуг общественного питания, а также розничная продажа алкогольной продукции, осуществляемая магазинами беспошлинной торговли.</w:t>
      </w:r>
    </w:p>
    <w:p>
      <w:pPr>
        <w:pStyle w:val="style23"/>
        <w:widowControl/>
        <w:suppressAutoHyphens w:val="false"/>
        <w:spacing w:after="0" w:before="0" w:line="100" w:lineRule="atLeast"/>
        <w:ind w:firstLine="851" w:left="0" w:right="0"/>
        <w:contextualSpacing w:val="false"/>
        <w:jc w:val="both"/>
        <w:textAlignment w:val="auto"/>
      </w:pP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В сложившейся ситуации, лиц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ензиаты имеют возможность не собл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ю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дать установленные ограничения розничной продажи алкогольной продукции в сл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у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чае определения своего торгового объекта в качестве одного из типов предпри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я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тий общественного питания, а норма Федерального закона № 171-ФЗ, напра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в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ленная на ограничение оборота алкогольной продукции в ночное время фактич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е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ски не исполняется. При этом организации в большинстве сл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у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чаев не соотве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т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ствуют установленным национальным стандартом требован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и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ям, фактически не предоставляют услуг общественного пи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тания, поскольку не производят и не ре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а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лизуют продукцию общественного питания, а ориентир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о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ваны исключительно на розничную продажу алкогольной продукции на вынос без предоставления во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з</w:t>
      </w:r>
      <w:r>
        <w:rPr>
          <w:rStyle w:val="style15"/>
          <w:rFonts w:ascii="Times New Roman" w:cs="Times New Roman" w:eastAsia="Times New Roman" w:hAnsi="Times New Roman"/>
          <w:sz w:val="28"/>
          <w:szCs w:val="28"/>
          <w:lang w:eastAsia="ru-RU"/>
        </w:rPr>
        <w:t>можности ее потребления на месте приобретения.</w:t>
      </w:r>
    </w:p>
    <w:p>
      <w:pPr>
        <w:pStyle w:val="style36"/>
        <w:tabs/>
        <w:ind w:firstLine="708" w:left="0" w:right="0"/>
        <w:jc w:val="both"/>
      </w:pPr>
      <w:r>
        <w:rPr>
          <w:rStyle w:val="style15"/>
          <w:szCs w:val="28"/>
          <w:lang w:val="ru-RU"/>
        </w:rPr>
        <w:t xml:space="preserve">В настоящее время </w:t>
      </w:r>
      <w:r>
        <w:rPr>
          <w:rStyle w:val="style15"/>
          <w:szCs w:val="28"/>
          <w:lang w:val="ru-RU"/>
        </w:rPr>
        <w:t>недобросовестные предприниматели с целью обхода установленного запрета стали массово переоборудовать свои торговые объе</w:t>
      </w:r>
      <w:r>
        <w:rPr>
          <w:rStyle w:val="style15"/>
          <w:szCs w:val="28"/>
          <w:lang w:val="ru-RU"/>
        </w:rPr>
        <w:t>к</w:t>
      </w:r>
      <w:r>
        <w:rPr>
          <w:rStyle w:val="style15"/>
          <w:szCs w:val="28"/>
          <w:lang w:val="ru-RU"/>
        </w:rPr>
        <w:t>ты в бары и имитировать деятельность по оказанию услуг общественного п</w:t>
      </w:r>
      <w:r>
        <w:rPr>
          <w:rStyle w:val="style15"/>
          <w:szCs w:val="28"/>
          <w:lang w:val="ru-RU"/>
        </w:rPr>
        <w:t>и</w:t>
      </w:r>
      <w:r>
        <w:rPr>
          <w:rStyle w:val="style15"/>
          <w:szCs w:val="28"/>
          <w:lang w:val="ru-RU"/>
        </w:rPr>
        <w:t>тания. Для этого достаточно установить 1-2 столика или барную сто</w:t>
      </w:r>
      <w:r>
        <w:rPr>
          <w:rStyle w:val="style15"/>
          <w:szCs w:val="28"/>
          <w:lang w:val="ru-RU"/>
        </w:rPr>
        <w:t>йку и п</w:t>
      </w:r>
      <w:r>
        <w:rPr>
          <w:rStyle w:val="style15"/>
          <w:szCs w:val="28"/>
          <w:lang w:val="ru-RU"/>
        </w:rPr>
        <w:t>е</w:t>
      </w:r>
      <w:r>
        <w:rPr>
          <w:rStyle w:val="style15"/>
          <w:szCs w:val="28"/>
          <w:lang w:val="ru-RU"/>
        </w:rPr>
        <w:t>реофо</w:t>
      </w:r>
      <w:r>
        <w:rPr>
          <w:rStyle w:val="style15"/>
          <w:szCs w:val="28"/>
          <w:lang w:val="ru-RU"/>
        </w:rPr>
        <w:t>р</w:t>
      </w:r>
      <w:r>
        <w:rPr>
          <w:rStyle w:val="style15"/>
          <w:szCs w:val="28"/>
          <w:lang w:val="ru-RU"/>
        </w:rPr>
        <w:t xml:space="preserve">мить лицензию на бар. </w:t>
      </w:r>
    </w:p>
    <w:p>
      <w:pPr>
        <w:pStyle w:val="style36"/>
        <w:tabs/>
        <w:ind w:firstLine="708" w:left="0" w:right="0"/>
        <w:jc w:val="both"/>
      </w:pPr>
      <w:r>
        <w:rPr>
          <w:rStyle w:val="style15"/>
          <w:szCs w:val="28"/>
          <w:lang w:val="ru-RU"/>
        </w:rPr>
        <w:t>Как правило, эту «лазейку» используют небольшие магазины, в ассо</w:t>
      </w:r>
      <w:r>
        <w:rPr>
          <w:rStyle w:val="style15"/>
          <w:szCs w:val="28"/>
          <w:lang w:val="ru-RU"/>
        </w:rPr>
        <w:t>р</w:t>
      </w:r>
      <w:r>
        <w:rPr>
          <w:rStyle w:val="style15"/>
          <w:szCs w:val="28"/>
          <w:lang w:val="ru-RU"/>
        </w:rPr>
        <w:t>т</w:t>
      </w:r>
      <w:r>
        <w:rPr>
          <w:rStyle w:val="style15"/>
          <w:szCs w:val="28"/>
          <w:lang w:val="ru-RU"/>
        </w:rPr>
        <w:t>и</w:t>
      </w:r>
      <w:r>
        <w:rPr>
          <w:rStyle w:val="style15"/>
          <w:szCs w:val="28"/>
          <w:lang w:val="ru-RU"/>
        </w:rPr>
        <w:t>менте которых преобладает алкогольная продукция, зачастую сомнительн</w:t>
      </w:r>
      <w:r>
        <w:rPr>
          <w:rStyle w:val="style15"/>
          <w:szCs w:val="28"/>
          <w:lang w:val="ru-RU"/>
        </w:rPr>
        <w:t>о</w:t>
      </w:r>
      <w:r>
        <w:rPr>
          <w:rStyle w:val="style15"/>
          <w:szCs w:val="28"/>
          <w:lang w:val="ru-RU"/>
        </w:rPr>
        <w:t>го к</w:t>
      </w:r>
      <w:r>
        <w:rPr>
          <w:rStyle w:val="style15"/>
          <w:szCs w:val="28"/>
          <w:lang w:val="ru-RU"/>
        </w:rPr>
        <w:t>а</w:t>
      </w:r>
      <w:r>
        <w:rPr>
          <w:rStyle w:val="style15"/>
          <w:szCs w:val="28"/>
          <w:lang w:val="ru-RU"/>
        </w:rPr>
        <w:t>чества и происхождения, собирающие вокруг себя спецконтингент «л</w:t>
      </w:r>
      <w:r>
        <w:rPr>
          <w:rStyle w:val="style15"/>
          <w:szCs w:val="28"/>
          <w:lang w:val="ru-RU"/>
        </w:rPr>
        <w:t>ю</w:t>
      </w:r>
      <w:r>
        <w:rPr>
          <w:rStyle w:val="style15"/>
          <w:szCs w:val="28"/>
          <w:lang w:val="ru-RU"/>
        </w:rPr>
        <w:t>бителей», что</w:t>
      </w:r>
      <w:r>
        <w:rPr>
          <w:rStyle w:val="style15"/>
          <w:szCs w:val="28"/>
          <w:lang w:val="ru-RU"/>
        </w:rPr>
        <w:t xml:space="preserve"> негативно влияет на криминогенную обстановку на прилега</w:t>
      </w:r>
      <w:r>
        <w:rPr>
          <w:rStyle w:val="style15"/>
          <w:szCs w:val="28"/>
          <w:lang w:val="ru-RU"/>
        </w:rPr>
        <w:t>ю</w:t>
      </w:r>
      <w:r>
        <w:rPr>
          <w:rStyle w:val="style15"/>
          <w:szCs w:val="28"/>
          <w:lang w:val="ru-RU"/>
        </w:rPr>
        <w:t>щих террит</w:t>
      </w:r>
      <w:r>
        <w:rPr>
          <w:rStyle w:val="style15"/>
          <w:szCs w:val="28"/>
          <w:lang w:val="ru-RU"/>
        </w:rPr>
        <w:t>о</w:t>
      </w:r>
      <w:r>
        <w:rPr>
          <w:rStyle w:val="style15"/>
          <w:szCs w:val="28"/>
          <w:lang w:val="ru-RU"/>
        </w:rPr>
        <w:t>риях, вызывает недовольство жильцов многоквартирных домов, на первых эт</w:t>
      </w:r>
      <w:r>
        <w:rPr>
          <w:rStyle w:val="style15"/>
          <w:szCs w:val="28"/>
          <w:lang w:val="ru-RU"/>
        </w:rPr>
        <w:t>а</w:t>
      </w:r>
      <w:r>
        <w:rPr>
          <w:rStyle w:val="style15"/>
          <w:szCs w:val="28"/>
          <w:lang w:val="ru-RU"/>
        </w:rPr>
        <w:t>жах которых располагаются подобные заведения.</w:t>
      </w:r>
    </w:p>
    <w:p>
      <w:pPr>
        <w:pStyle w:val="style36"/>
        <w:tabs/>
        <w:ind w:firstLine="708" w:left="0" w:right="0"/>
        <w:jc w:val="both"/>
      </w:pPr>
      <w:r>
        <w:rPr>
          <w:rStyle w:val="style15"/>
          <w:szCs w:val="28"/>
          <w:lang w:val="ru-RU"/>
        </w:rPr>
        <w:t>Это дискредитирует деятельность реальных предприятий общественного пит</w:t>
      </w:r>
      <w:r>
        <w:rPr>
          <w:rStyle w:val="style15"/>
          <w:szCs w:val="28"/>
          <w:lang w:val="ru-RU"/>
        </w:rPr>
        <w:t>ания и препятствует адекватному регулированию такой деятельности со ст</w:t>
      </w:r>
      <w:r>
        <w:rPr>
          <w:rStyle w:val="style15"/>
          <w:szCs w:val="28"/>
          <w:lang w:val="ru-RU"/>
        </w:rPr>
        <w:t>о</w:t>
      </w:r>
      <w:r>
        <w:rPr>
          <w:rStyle w:val="style15"/>
          <w:szCs w:val="28"/>
          <w:lang w:val="ru-RU"/>
        </w:rPr>
        <w:t xml:space="preserve">роны государства. 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С учетом выше изложенного, полагаем что необходимо внести соответствующие корректировки в Закон Томской области от 05.05.2012 № 48-ОЗ «Об отдельных вопросах регулирования розничной продажи алкогольной продукции на территории Томской области» в части запрета продажи алкогольной продукции на вынос при оказании услуг общественного питания, осуществления в одном помещении розничной продажи алкогольной продукции и розничной продажи алкогольной продукции при оказании услуг общественного питания.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</w:r>
    </w:p>
    <w:p>
      <w:pPr>
        <w:pStyle w:val="style29"/>
        <w:ind w:firstLine="708" w:left="0" w:right="0"/>
        <w:jc w:val="center"/>
      </w:pPr>
      <w:r>
        <w:rPr>
          <w:rFonts w:ascii="Times New Roman" w:cs="Times New Roman" w:hAnsi="Times New Roman"/>
          <w:sz w:val="28"/>
          <w:szCs w:val="28"/>
        </w:rPr>
        <w:t>2. Цели предлагаемого правового регулирования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Цель регулирования –  воздействие на юридических лиц и индивидуальных предпринимателей, оказывающих услуги общественного питания.   В соответствии с   положениям Концепции реализации государственной политики по снижению масштабов злоупотребления алкогольной продукцией и профилактике алкоголизма среди населения Российской Федерации на период до 2020 года. В частности, одной из главных мер по реализации Концепции является снижение доступности алкогольной продукции путем ограничения ее розничной продажи по месту и времени. 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</w:r>
    </w:p>
    <w:p>
      <w:pPr>
        <w:pStyle w:val="style29"/>
        <w:ind w:firstLine="284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3.  Действующие  нормативные  правовые акты, поручения, другие решения, из   которых  вытекает  необходимость  разработки  предлагаемого  правового регулирования в данной области: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Пункт 1 статьи  6 Федерального закона от 22 ноября 1995 года 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</w:r>
    </w:p>
    <w:p>
      <w:pPr>
        <w:pStyle w:val="style29"/>
        <w:ind w:firstLine="142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    </w:t>
      </w:r>
      <w:r>
        <w:rPr>
          <w:rFonts w:ascii="Times New Roman" w:cs="Times New Roman" w:hAnsi="Times New Roman"/>
          <w:sz w:val="28"/>
          <w:szCs w:val="28"/>
        </w:rPr>
        <w:t>4.   Планируемый   срок   вступления  в  силу  предлагаемого  правового регулирования: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Предполагаемая дата вступления в силу законопроекта -  с 01 января 2016 года, но   не ранее чем по истечении трех месяцев со дня его официального опубликования.</w:t>
      </w:r>
    </w:p>
    <w:p>
      <w:pPr>
        <w:pStyle w:val="style29"/>
        <w:ind w:firstLine="284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5.  Сведения  о необходимости или отсутствии необходимости установления переходного периода: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Отсрочка вступления в законную силу закона Томской области «О внесении изменений в Закон Томской области от 05.05.2012 № 48-ОЗ «Об отдельных вопросах регулирования розничной продажи алкогольной продукции на территории Томской области» обусловлена необходимостью ознакомления с вновь принятыми изменениями получателя государственной услуги.</w:t>
      </w:r>
    </w:p>
    <w:p>
      <w:pPr>
        <w:pStyle w:val="style29"/>
        <w:ind w:firstLine="284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    </w:t>
      </w:r>
      <w:r>
        <w:rPr>
          <w:rFonts w:ascii="Times New Roman" w:cs="Times New Roman" w:hAnsi="Times New Roman"/>
          <w:sz w:val="28"/>
          <w:szCs w:val="28"/>
        </w:rPr>
        <w:t>6. Сравнение возможных вариантов решения проблемы: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</w:r>
    </w:p>
    <w:tbl>
      <w:tblPr>
        <w:jc w:val="left"/>
        <w:tblInd w:type="dxa" w:w="-562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2835"/>
        <w:gridCol w:w="3828"/>
        <w:gridCol w:w="4111"/>
      </w:tblGrid>
      <w:tr>
        <w:trPr>
          <w:cantSplit w:val="false"/>
        </w:trPr>
        <w:tc>
          <w:tcPr>
            <w:tcW w:type="dxa" w:w="28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</w:tc>
        <w:tc>
          <w:tcPr>
            <w:tcW w:type="dxa" w:w="38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Вариант 1</w:t>
            </w:r>
          </w:p>
        </w:tc>
        <w:tc>
          <w:tcPr>
            <w:tcW w:type="dxa" w:w="411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Вариант 2</w:t>
            </w:r>
          </w:p>
        </w:tc>
      </w:tr>
      <w:tr>
        <w:trPr>
          <w:cantSplit w:val="false"/>
        </w:trPr>
        <w:tc>
          <w:tcPr>
            <w:tcW w:type="dxa" w:w="28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tabs>
                <w:tab w:leader="none" w:pos="142" w:val="left"/>
              </w:tabs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6.1. Содержание варианта решения выявленной проблемы</w:t>
            </w:r>
          </w:p>
        </w:tc>
        <w:tc>
          <w:tcPr>
            <w:tcW w:type="dxa" w:w="38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ind w:hanging="1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Внести изменения в действующий  Закон Томской  области  от 05.05.2012 № 48-ОЗ «Об отдельных вопросах регулирования розничной продажи алкогольной продукции на территории Томской области»</w:t>
            </w:r>
          </w:p>
          <w:p>
            <w:pPr>
              <w:pStyle w:val="style29"/>
              <w:ind w:hanging="1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9"/>
              <w:ind w:hanging="1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9"/>
              <w:ind w:hanging="1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</w:tc>
        <w:tc>
          <w:tcPr>
            <w:tcW w:type="dxa" w:w="411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3"/>
              <w:jc w:val="center"/>
            </w:pPr>
            <w:r>
              <w:rPr>
                <w:rStyle w:val="style15"/>
                <w:rFonts w:ascii="Times New Roman" w:cs="Times New Roman" w:hAnsi="Times New Roman"/>
                <w:sz w:val="28"/>
                <w:szCs w:val="28"/>
                <w:lang w:eastAsia="ru-RU"/>
              </w:rPr>
              <w:t>Не</w:t>
            </w:r>
            <w:r>
              <w:rPr>
                <w:rStyle w:val="style15"/>
                <w:rFonts w:ascii="Baskerville Old Face" w:hAnsi="Baskerville Old Face"/>
                <w:sz w:val="28"/>
                <w:szCs w:val="28"/>
                <w:lang w:eastAsia="ru-RU"/>
              </w:rPr>
              <w:t xml:space="preserve"> 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  <w:lang w:eastAsia="ru-RU"/>
              </w:rPr>
              <w:t>вмешательство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  <w:lang w:eastAsia="ru-RU"/>
              </w:rPr>
              <w:t xml:space="preserve"> в законодательство Томской области, регулирующее розничную продажу алкогольной продукции на территории Томской области</w:t>
            </w:r>
          </w:p>
        </w:tc>
      </w:tr>
      <w:tr>
        <w:trPr>
          <w:cantSplit w:val="false"/>
        </w:trPr>
        <w:tc>
          <w:tcPr>
            <w:tcW w:type="dxa" w:w="28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ind w:firstLine="142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6.2.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type="dxa" w:w="38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Юридические лица, индивидуальные предприниматели предоставляющие услуги общественного питания на территории Томской области</w:t>
            </w:r>
          </w:p>
          <w:p>
            <w:pPr>
              <w:pStyle w:val="style23"/>
            </w:pPr>
            <w:r>
              <w:rPr>
                <w:lang w:eastAsia="ru-RU"/>
              </w:rPr>
            </w:r>
          </w:p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</w:tc>
        <w:tc>
          <w:tcPr>
            <w:tcW w:type="dxa" w:w="411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3"/>
              <w:jc w:val="center"/>
            </w:pP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>Сохранение текущего положения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 xml:space="preserve"> на рынке розничной продажи алкогольной продукции</w:t>
            </w:r>
          </w:p>
        </w:tc>
      </w:tr>
      <w:tr>
        <w:trPr>
          <w:cantSplit w:val="false"/>
        </w:trPr>
        <w:tc>
          <w:tcPr>
            <w:tcW w:type="dxa" w:w="28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type="dxa" w:w="38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ind w:firstLine="426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Дополнительные расходы со стороны юридических лиц, индивидуальных предпринимателей по приведению помещений объектов торговли в соответствии с правовым регулированием </w:t>
            </w:r>
          </w:p>
        </w:tc>
        <w:tc>
          <w:tcPr>
            <w:tcW w:type="dxa" w:w="411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3"/>
              <w:jc w:val="center"/>
            </w:pP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>Дополнительных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 xml:space="preserve"> расход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>ов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 xml:space="preserve"> по пр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>и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>ведению помещений объектов торговли в соответствии с правовым регулированием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 xml:space="preserve"> не потребуется</w:t>
            </w:r>
          </w:p>
        </w:tc>
      </w:tr>
      <w:tr>
        <w:trPr>
          <w:cantSplit w:val="false"/>
        </w:trPr>
        <w:tc>
          <w:tcPr>
            <w:tcW w:type="dxa" w:w="28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type="dxa" w:w="38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Дополнительных финансовых затрат из областного бюджета, связанных с введением предлагаемого правового регулирования не потребуется </w:t>
            </w:r>
          </w:p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</w:tc>
        <w:tc>
          <w:tcPr>
            <w:tcW w:type="dxa" w:w="411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Дополнительных финансовых затрат из областного бюджета</w:t>
            </w:r>
          </w:p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не потребуется</w:t>
            </w:r>
          </w:p>
        </w:tc>
      </w:tr>
      <w:tr>
        <w:trPr>
          <w:trHeight w:hRule="atLeast" w:val="5074"/>
          <w:cantSplit w:val="false"/>
        </w:trPr>
        <w:tc>
          <w:tcPr>
            <w:tcW w:type="dxa" w:w="28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type="dxa" w:w="38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Снижение количества «псевдо» предприятий общественного питания;</w:t>
            </w:r>
          </w:p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повышение качества оказываемых услуг в предприятиях общественного питания, что положительно скажется на конкурентоспособности организаций;</w:t>
            </w:r>
          </w:p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снижение алкоголизации населения;</w:t>
            </w:r>
          </w:p>
          <w:p>
            <w:pPr>
              <w:pStyle w:val="style23"/>
              <w:widowControl/>
              <w:suppressAutoHyphens w:val="false"/>
              <w:spacing w:after="0" w:before="0" w:line="100" w:lineRule="atLeast"/>
              <w:ind w:firstLine="709" w:left="0" w:right="0"/>
              <w:contextualSpacing w:val="false"/>
              <w:jc w:val="center"/>
              <w:textAlignment w:val="auto"/>
            </w:pPr>
            <w:r>
              <w:rPr>
                <w:rStyle w:val="style15"/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  <w:t>снижение количества правонарушений и преступл</w:t>
            </w:r>
            <w:r>
              <w:rPr>
                <w:rStyle w:val="style15"/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  <w:t>е</w:t>
            </w:r>
            <w:r>
              <w:rPr>
                <w:rStyle w:val="style15"/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  <w:t>ний в ночное вр</w:t>
            </w:r>
            <w:r>
              <w:rPr>
                <w:rStyle w:val="style15"/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  <w:t>е</w:t>
            </w:r>
            <w:r>
              <w:rPr>
                <w:rStyle w:val="style15"/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  <w:t>мя</w:t>
            </w:r>
          </w:p>
          <w:p>
            <w:pPr>
              <w:pStyle w:val="style29"/>
              <w:jc w:val="both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9"/>
              <w:jc w:val="both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9"/>
              <w:jc w:val="both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3"/>
              <w:widowControl/>
              <w:suppressAutoHyphens w:val="false"/>
              <w:spacing w:after="0" w:before="0" w:line="100" w:lineRule="atLeast"/>
              <w:ind w:firstLine="709" w:left="0" w:right="0"/>
              <w:contextualSpacing w:val="false"/>
              <w:jc w:val="both"/>
              <w:textAlignment w:val="auto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</w:tc>
        <w:tc>
          <w:tcPr>
            <w:tcW w:type="dxa" w:w="411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3"/>
              <w:widowControl/>
              <w:suppressAutoHyphens w:val="false"/>
              <w:spacing w:after="0" w:before="0" w:line="100" w:lineRule="atLeast"/>
              <w:ind w:firstLine="283" w:left="0" w:right="0"/>
              <w:contextualSpacing w:val="false"/>
              <w:jc w:val="center"/>
              <w:textAlignment w:val="auto"/>
            </w:pP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>Увеличение количества «псе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>в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>до» предприятий общ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>е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>ственного питания</w:t>
            </w: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 xml:space="preserve">; </w:t>
            </w:r>
          </w:p>
          <w:p>
            <w:pPr>
              <w:pStyle w:val="style23"/>
              <w:widowControl/>
              <w:suppressAutoHyphens w:val="false"/>
              <w:spacing w:after="0" w:before="0" w:line="100" w:lineRule="atLeast"/>
              <w:ind w:firstLine="709" w:left="0" w:right="0"/>
              <w:contextualSpacing w:val="false"/>
              <w:jc w:val="center"/>
              <w:textAlignment w:val="auto"/>
            </w:pPr>
            <w:r>
              <w:rPr>
                <w:rStyle w:val="style15"/>
                <w:rFonts w:ascii="Times New Roman" w:cs="Times New Roman" w:hAnsi="Times New Roman"/>
                <w:sz w:val="28"/>
                <w:szCs w:val="28"/>
              </w:rPr>
              <w:t xml:space="preserve">увеличение </w:t>
            </w:r>
            <w:r>
              <w:rPr>
                <w:rStyle w:val="style15"/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  <w:t>количества пр</w:t>
            </w:r>
            <w:r>
              <w:rPr>
                <w:rStyle w:val="style15"/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  <w:t>а</w:t>
            </w:r>
            <w:r>
              <w:rPr>
                <w:rStyle w:val="style15"/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  <w:t>вонарушений и преступлений в ночное время</w:t>
            </w:r>
          </w:p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3"/>
              <w:widowControl/>
              <w:suppressAutoHyphens w:val="false"/>
              <w:spacing w:after="0" w:before="0" w:line="100" w:lineRule="atLeast"/>
              <w:ind w:firstLine="709" w:left="0" w:right="0"/>
              <w:contextualSpacing w:val="false"/>
              <w:jc w:val="center"/>
              <w:textAlignment w:val="auto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</w:tc>
      </w:tr>
      <w:tr>
        <w:trPr>
          <w:cantSplit w:val="false"/>
        </w:trPr>
        <w:tc>
          <w:tcPr>
            <w:tcW w:type="dxa" w:w="28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6.6. Оценка рисков неблагоприятных последствий</w:t>
            </w:r>
          </w:p>
        </w:tc>
        <w:tc>
          <w:tcPr>
            <w:tcW w:type="dxa" w:w="38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Возможное закрытие магазинов шаговой доступности и предприятий общественного питания, уход с рынка части субъектов малого бизнеса</w:t>
            </w:r>
          </w:p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</w:tc>
        <w:tc>
          <w:tcPr>
            <w:tcW w:type="dxa" w:w="411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75"/>
              <w:left w:type="dxa" w:w="0"/>
              <w:bottom w:type="dxa" w:w="75"/>
              <w:right w:type="dxa" w:w="0"/>
            </w:tcMar>
          </w:tcPr>
          <w:p>
            <w:pPr>
              <w:pStyle w:val="style29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Не определено</w:t>
            </w:r>
          </w:p>
          <w:p>
            <w:pPr>
              <w:pStyle w:val="style29"/>
              <w:ind w:firstLine="708" w:left="0" w:right="0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</w:r>
          </w:p>
        </w:tc>
      </w:tr>
    </w:tbl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    </w:t>
      </w:r>
      <w:r>
        <w:rPr>
          <w:rFonts w:ascii="Times New Roman" w:cs="Times New Roman" w:hAnsi="Times New Roman"/>
          <w:sz w:val="28"/>
          <w:szCs w:val="28"/>
        </w:rPr>
        <w:t>6.7. Обоснование   выбора   предпочтительного   варианта  предлагаемого правового регулирования выявленной проблемы: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Представленный законопроект призван сбалансировать права граждан на создание здоровой, комфортной  среды обитания и прав субъектов предпринимательской и инвестиционной деятельности при предоставлении услуг общественного питания, связанной с оборотом алкогольной продукции.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К положительным результатам введения в действие законопроекта можно отнести снижение плотности расположения торговых объектов, реализующих розничную продажу алкогольной продукции в ночное время.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Отрицательный – возможное закрытие магазинов шаговой доступности и предприятий общественного питания, уход с рынка части субъектов малого бизнеса.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    </w:t>
      </w:r>
      <w:r>
        <w:rPr>
          <w:rFonts w:ascii="Times New Roman" w:cs="Times New Roman" w:hAnsi="Times New Roman"/>
          <w:sz w:val="28"/>
          <w:szCs w:val="28"/>
        </w:rPr>
        <w:t>7.  Иная  информация по решению разработчика, относящаяся к сведениям о подготовке идеи (концепции) предлагаемого правового регулирования: отсутствует.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    </w:t>
      </w:r>
      <w:r>
        <w:rPr>
          <w:rFonts w:ascii="Times New Roman" w:cs="Times New Roman" w:hAnsi="Times New Roman"/>
          <w:sz w:val="28"/>
          <w:szCs w:val="28"/>
        </w:rPr>
        <w:t>К уведомлению прилагаются перечень вопросов для участников публичных консультаций.</w:t>
      </w:r>
    </w:p>
    <w:p>
      <w:pPr>
        <w:pStyle w:val="style29"/>
        <w:jc w:val="both"/>
      </w:pPr>
      <w:r>
        <w:rPr>
          <w:rFonts w:ascii="Times New Roman" w:hAnsi="Times New Roman"/>
          <w:sz w:val="28"/>
          <w:szCs w:val="28"/>
        </w:rPr>
      </w:r>
    </w:p>
    <w:p>
      <w:pPr>
        <w:pStyle w:val="style29"/>
        <w:jc w:val="center"/>
      </w:pPr>
      <w:r>
        <w:rPr>
          <w:rFonts w:ascii="Times New Roman" w:hAnsi="Times New Roman"/>
          <w:sz w:val="28"/>
          <w:szCs w:val="28"/>
        </w:rPr>
        <w:t xml:space="preserve">ПЕРЕЧЕНЬ ВОПРОСОВ ДЛЯ УЧАСТНИКОВ </w:t>
      </w:r>
    </w:p>
    <w:p>
      <w:pPr>
        <w:pStyle w:val="style29"/>
        <w:jc w:val="center"/>
      </w:pPr>
      <w:r>
        <w:rPr>
          <w:rFonts w:ascii="Times New Roman" w:hAnsi="Times New Roman"/>
          <w:sz w:val="28"/>
          <w:szCs w:val="28"/>
        </w:rPr>
        <w:t>ПУБЛИЧНЫХ КОНСУЛЬТАЦИЙ</w:t>
      </w:r>
    </w:p>
    <w:p>
      <w:pPr>
        <w:pStyle w:val="style29"/>
        <w:jc w:val="both"/>
      </w:pPr>
      <w:r>
        <w:rPr/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1. К каким последствиям может привести принятие нового государственного регулирования: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Какие полезные эффекты (для государства, общества, субъектов предпринимательской и инвестиционной  деятельности, потребителей и т.п.) ожидаются в случае принятия проекта Закона? Какими данными можно будет подтвердить проявление таких полезных эффектов?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Какие негативные эффекты (для государства, общества, субъектов предпринимательской и инвестиционной деятельности, потребителей и т.п.) ожидаются в случае принятия проекта Закона? Какими данными можно будет подтвердить проявление таких негативных эффектов?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2. Существуют ли в предлагаемом правовом регулировании положения, которые необоснованно затруднят ведение предпринимательской деятельности (обязанности, запреты и ограничения), а также приведут к существенному увеличению расходов субъектов предпринимательской и инвестиционной деятельности?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3. Интересы каких, по Вашей оценке, субъектов предпринимательской и инвестиционной деятельности будут затронуты предлагаемым государственным регулированием (по видам субъектов, по количеству таких субъектов)?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4. Создаст ли исполнение положений данного государственного регулирования существенные риски для ведения предпринимательской и инвестиционной деятельности? Укажите возможные риски.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5. Какие, на Ваш взгляд, могут возникнуть проблемы и трудности с контролем соблюдения требований и норм, вводимых данным правовым нормативным актом?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6. Требуется ли переходный период для вступления в силу предлагаемого государственного регулирования? Какой переходный период необходим для вступления в силу предлагаемого проекта акта? С какого времени целесообразно установить дату вступления в силу проекта акта?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7. Содержит ли проект Закона невыполнимые на практике нормы? Считаете ли Вы, что предлагаемые нормы не соответствуют действующему законодательству? Если да, укажите такие нормы.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8. Существуют ли альтернативные варианты достижения заявленных целей государственного регулирования? Если да, выделите те из них, которые, по Вашему мнению, были бы менее затратные и/или более эффективны? Аргументируйте свою позицию.</w:t>
      </w:r>
    </w:p>
    <w:p>
      <w:pPr>
        <w:pStyle w:val="style29"/>
        <w:ind w:firstLine="708" w:left="0" w:right="0"/>
        <w:jc w:val="both"/>
      </w:pPr>
      <w:r>
        <w:rPr>
          <w:rFonts w:ascii="Times New Roman" w:cs="Times New Roman" w:hAnsi="Times New Roman"/>
          <w:sz w:val="28"/>
          <w:szCs w:val="28"/>
        </w:rPr>
        <w:t>9. Иные предложения и замечания, которые, по Вашему мнению, целесообразно учесть в рамках оценки регулирующего воздействия.</w:t>
      </w:r>
    </w:p>
    <w:p>
      <w:pPr>
        <w:pStyle w:val="style29"/>
        <w:ind w:firstLine="708" w:left="0" w:right="0"/>
        <w:jc w:val="both"/>
      </w:pPr>
      <w:bookmarkStart w:id="2" w:name="__DdeLink__457_6190937"/>
      <w:bookmarkStart w:id="3" w:name="__DdeLink__457_6190937"/>
      <w:bookmarkEnd w:id="3"/>
      <w:r>
        <w:rPr>
          <w:rFonts w:ascii="Times New Roman" w:cs="Times New Roman" w:hAnsi="Times New Roman"/>
          <w:sz w:val="28"/>
          <w:szCs w:val="28"/>
        </w:rPr>
      </w:r>
    </w:p>
    <w:sectPr>
      <w:type w:val="nextPage"/>
      <w:pgSz w:h="16838" w:w="11906"/>
      <w:pgMar w:bottom="851" w:footer="0" w:gutter="0" w:header="0" w:left="1276" w:right="1133" w:top="709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keepNext/>
      <w:keepLines w:val="false"/>
      <w:pageBreakBefore w:val="false"/>
      <w:widowControl/>
      <w:pBdr/>
      <w:shd w:fill="auto" w:val="clear"/>
      <w:tabs/>
      <w:suppressAutoHyphens w:val="true"/>
      <w:kinsoku w:val="true"/>
      <w:overflowPunct w:val="true"/>
      <w:autoSpaceDE w:val="true"/>
      <w:snapToGrid w:val="true"/>
      <w:spacing w:after="200" w:before="0" w:line="276" w:lineRule="auto"/>
      <w:contextualSpacing w:val="false"/>
      <w:jc w:val="left"/>
      <w:textAlignment w:val="baseline"/>
    </w:pPr>
    <w:rPr>
      <w:rFonts w:ascii="Calibri" w:cs="Times New Roman" w:eastAsia="Calibri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shd w:fill="auto" w:val="clear"/>
      <w:vertAlign w:val="baseline"/>
      <w:em w:val="none"/>
      <w:lang w:bidi="ar-SA" w:eastAsia="en-US" w:val="ru-RU"/>
    </w:rPr>
  </w:style>
  <w:style w:styleId="style15" w:type="character">
    <w:name w:val="Основной шрифт абзаца"/>
    <w:next w:val="style15"/>
    <w:rPr/>
  </w:style>
  <w:style w:styleId="style16" w:type="character">
    <w:name w:val="Текст выноски Знак"/>
    <w:basedOn w:val="style15"/>
    <w:next w:val="style16"/>
    <w:rPr>
      <w:rFonts w:ascii="Tahoma" w:cs="Tahoma" w:eastAsia="Calibri" w:hAnsi="Tahoma"/>
      <w:sz w:val="16"/>
      <w:szCs w:val="16"/>
    </w:rPr>
  </w:style>
  <w:style w:styleId="style17" w:type="character">
    <w:name w:val="Интернет-ссылка"/>
    <w:basedOn w:val="style15"/>
    <w:next w:val="style17"/>
    <w:rPr>
      <w:color w:val="0000FF"/>
      <w:u w:val="single"/>
    </w:rPr>
  </w:style>
  <w:style w:styleId="style18" w:type="character">
    <w:name w:val="Символ нумерации"/>
    <w:next w:val="style18"/>
    <w:rPr/>
  </w:style>
  <w:style w:styleId="style19" w:type="character">
    <w:name w:val="Знак примечания"/>
    <w:basedOn w:val="style15"/>
    <w:next w:val="style19"/>
    <w:rPr>
      <w:sz w:val="16"/>
      <w:szCs w:val="16"/>
    </w:rPr>
  </w:style>
  <w:style w:styleId="style20" w:type="character">
    <w:name w:val="Текст примечания Знак"/>
    <w:basedOn w:val="style15"/>
    <w:next w:val="style20"/>
    <w:rPr>
      <w:sz w:val="20"/>
      <w:szCs w:val="20"/>
    </w:rPr>
  </w:style>
  <w:style w:styleId="style21" w:type="character">
    <w:name w:val="Тема примечания Знак"/>
    <w:basedOn w:val="style20"/>
    <w:next w:val="style21"/>
    <w:rPr>
      <w:b/>
      <w:bCs/>
      <w:sz w:val="20"/>
      <w:szCs w:val="20"/>
    </w:rPr>
  </w:style>
  <w:style w:styleId="style22" w:type="character">
    <w:name w:val="Основной текст с отступом Знак"/>
    <w:basedOn w:val="style15"/>
    <w:next w:val="style22"/>
    <w:rPr>
      <w:rFonts w:ascii="Times New Roman" w:cs="Times New Roman" w:eastAsia="Times New Roman" w:hAnsi="Times New Roman"/>
      <w:sz w:val="28"/>
      <w:szCs w:val="20"/>
      <w:lang w:eastAsia="ru-RU" w:val="en-US"/>
    </w:rPr>
  </w:style>
  <w:style w:styleId="style23" w:type="paragraph">
    <w:name w:val="Обычный"/>
    <w:next w:val="style23"/>
    <w:pPr>
      <w:keepNext/>
      <w:keepLines w:val="false"/>
      <w:pageBreakBefore w:val="false"/>
      <w:widowControl w:val="false"/>
      <w:pBdr/>
      <w:shd w:fill="auto" w:val="clear"/>
      <w:tabs/>
      <w:suppressAutoHyphens w:val="true"/>
      <w:kinsoku w:val="true"/>
      <w:overflowPunct w:val="true"/>
      <w:autoSpaceDE w:val="true"/>
      <w:snapToGrid w:val="true"/>
      <w:spacing w:after="200" w:before="0" w:line="276" w:lineRule="auto"/>
      <w:contextualSpacing w:val="false"/>
      <w:jc w:val="left"/>
      <w:textAlignment w:val="baseline"/>
    </w:pPr>
    <w:rPr>
      <w:rFonts w:ascii="Calibri" w:cs="Tahoma" w:eastAsia="SimSun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shd w:fill="auto" w:val="clear"/>
      <w:vertAlign w:val="baseline"/>
      <w:em w:val="none"/>
      <w:lang w:bidi="ar-SA" w:eastAsia="en-US" w:val="ru-RU"/>
    </w:rPr>
  </w:style>
  <w:style w:styleId="style24" w:type="paragraph">
    <w:name w:val="Заголовок"/>
    <w:basedOn w:val="style0"/>
    <w:next w:val="style25"/>
    <w:pPr>
      <w:keepNext/>
      <w:suppressAutoHyphens w:val="true"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5" w:type="paragraph">
    <w:name w:val="Основной текст"/>
    <w:basedOn w:val="style0"/>
    <w:next w:val="style25"/>
    <w:pPr>
      <w:suppressAutoHyphens w:val="true"/>
      <w:spacing w:after="120" w:before="0"/>
      <w:contextualSpacing w:val="false"/>
    </w:pPr>
    <w:rPr/>
  </w:style>
  <w:style w:styleId="style26" w:type="paragraph">
    <w:name w:val="Список"/>
    <w:basedOn w:val="style25"/>
    <w:next w:val="style26"/>
    <w:pPr>
      <w:suppressAutoHyphens w:val="true"/>
    </w:pPr>
    <w:rPr>
      <w:rFonts w:cs="Mangal"/>
    </w:rPr>
  </w:style>
  <w:style w:styleId="style27" w:type="paragraph">
    <w:name w:val="Название объекта"/>
    <w:basedOn w:val="style0"/>
    <w:next w:val="style27"/>
    <w:pPr>
      <w:suppressLineNumbers/>
      <w:suppressAutoHyphens w:val="true"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8" w:type="paragraph">
    <w:name w:val="Указатель"/>
    <w:basedOn w:val="style0"/>
    <w:next w:val="style28"/>
    <w:pPr>
      <w:suppressLineNumbers/>
      <w:suppressAutoHyphens w:val="true"/>
    </w:pPr>
    <w:rPr>
      <w:rFonts w:cs="Mangal"/>
    </w:rPr>
  </w:style>
  <w:style w:styleId="style29" w:type="paragraph">
    <w:name w:val="ConsPlusNonformat"/>
    <w:next w:val="style29"/>
    <w:pPr>
      <w:keepNext/>
      <w:keepLines w:val="false"/>
      <w:pageBreakBefore w:val="false"/>
      <w:widowControl w:val="false"/>
      <w:pBdr/>
      <w:shd w:fill="auto" w:val="clear"/>
      <w:tabs/>
      <w:suppressAutoHyphens w:val="true"/>
      <w:kinsoku w:val="true"/>
      <w:overflowPunct w:val="true"/>
      <w:autoSpaceDE w:val="true"/>
      <w:snapToGrid w:val="true"/>
      <w:spacing w:after="0" w:before="0" w:line="100" w:lineRule="atLeast"/>
      <w:contextualSpacing w:val="false"/>
      <w:jc w:val="left"/>
      <w:textAlignment w:val="baseline"/>
    </w:pPr>
    <w:rPr>
      <w:rFonts w:ascii="Courier New" w:cs="Courier New" w:eastAsia="Times New Roman" w:hAnsi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0"/>
      <w:sz w:val="20"/>
      <w:szCs w:val="20"/>
      <w:u w:val="none"/>
      <w:shd w:fill="auto" w:val="clear"/>
      <w:vertAlign w:val="baseline"/>
      <w:em w:val="none"/>
      <w:lang w:bidi="ar-SA" w:eastAsia="ru-RU" w:val="ru-RU"/>
    </w:rPr>
  </w:style>
  <w:style w:styleId="style30" w:type="paragraph">
    <w:name w:val="ConsPlusCell"/>
    <w:next w:val="style30"/>
    <w:pPr>
      <w:keepNext/>
      <w:keepLines w:val="false"/>
      <w:pageBreakBefore w:val="false"/>
      <w:widowControl w:val="false"/>
      <w:pBdr/>
      <w:shd w:fill="auto" w:val="clear"/>
      <w:tabs/>
      <w:suppressAutoHyphens w:val="true"/>
      <w:kinsoku w:val="true"/>
      <w:overflowPunct w:val="true"/>
      <w:autoSpaceDE w:val="true"/>
      <w:snapToGrid w:val="true"/>
      <w:spacing w:after="0" w:before="0" w:line="100" w:lineRule="atLeast"/>
      <w:contextualSpacing w:val="false"/>
      <w:jc w:val="left"/>
      <w:textAlignment w:val="baseline"/>
    </w:pPr>
    <w:rPr>
      <w:rFonts w:ascii="Calibri" w:cs="Calibri" w:eastAsia="Times New Roman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shd w:fill="auto" w:val="clear"/>
      <w:vertAlign w:val="baseline"/>
      <w:em w:val="none"/>
      <w:lang w:bidi="ar-SA" w:eastAsia="ru-RU" w:val="ru-RU"/>
    </w:rPr>
  </w:style>
  <w:style w:styleId="style31" w:type="paragraph">
    <w:name w:val="Абзац списка"/>
    <w:basedOn w:val="style0"/>
    <w:next w:val="style31"/>
    <w:pPr>
      <w:tabs/>
      <w:suppressAutoHyphens w:val="true"/>
      <w:ind w:hanging="0" w:left="720" w:right="0"/>
    </w:pPr>
    <w:rPr/>
  </w:style>
  <w:style w:styleId="style32" w:type="paragraph">
    <w:name w:val="Текст выноски"/>
    <w:basedOn w:val="style0"/>
    <w:next w:val="style32"/>
    <w:pPr>
      <w:suppressAutoHyphens w:val="true"/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  <w:style w:styleId="style33" w:type="paragraph">
    <w:name w:val="Содержимое таблицы"/>
    <w:basedOn w:val="style0"/>
    <w:next w:val="style33"/>
    <w:pPr>
      <w:suppressLineNumbers/>
      <w:suppressAutoHyphens w:val="true"/>
    </w:pPr>
    <w:rPr/>
  </w:style>
  <w:style w:styleId="style34" w:type="paragraph">
    <w:name w:val="Текст примечания"/>
    <w:basedOn w:val="style23"/>
    <w:next w:val="style34"/>
    <w:pPr>
      <w:suppressAutoHyphens w:val="true"/>
      <w:spacing w:line="100" w:lineRule="atLeast"/>
    </w:pPr>
    <w:rPr>
      <w:sz w:val="20"/>
      <w:szCs w:val="20"/>
    </w:rPr>
  </w:style>
  <w:style w:styleId="style35" w:type="paragraph">
    <w:name w:val="Тема примечания"/>
    <w:basedOn w:val="style34"/>
    <w:next w:val="style34"/>
    <w:pPr>
      <w:suppressAutoHyphens w:val="true"/>
    </w:pPr>
    <w:rPr>
      <w:b/>
      <w:bCs/>
    </w:rPr>
  </w:style>
  <w:style w:styleId="style36" w:type="paragraph">
    <w:name w:val="Основной текст с отступом"/>
    <w:basedOn w:val="style23"/>
    <w:next w:val="style36"/>
    <w:pPr>
      <w:widowControl/>
      <w:tabs/>
      <w:suppressAutoHyphens w:val="false"/>
      <w:spacing w:after="0" w:before="0" w:line="100" w:lineRule="atLeast"/>
      <w:ind w:hanging="0" w:left="6480" w:right="0"/>
      <w:contextualSpacing w:val="false"/>
      <w:textAlignment w:val="auto"/>
    </w:pPr>
    <w:rPr>
      <w:rFonts w:ascii="Times New Roman" w:cs="Times New Roman" w:eastAsia="Times New Roman" w:hAnsi="Times New Roman"/>
      <w:sz w:val="28"/>
      <w:szCs w:val="20"/>
      <w:lang w:eastAsia="ru-RU"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fo@palata.tomsk.ru" TargetMode="External"/><Relationship Id="rId3" Type="http://schemas.openxmlformats.org/officeDocument/2006/relationships/hyperlink" Target="mailto:info@palata.tomsk.ru" TargetMode="External"/><Relationship Id="rId4" Type="http://schemas.openxmlformats.org/officeDocument/2006/relationships/hyperlink" Target="mailto:info@palata.tomsk.ru" TargetMode="External"/><Relationship Id="rId5" Type="http://schemas.openxmlformats.org/officeDocument/2006/relationships/hyperlink" Target="mailto:info@palata.tomsk.ru" TargetMode="External"/><Relationship Id="rId6" Type="http://schemas.openxmlformats.org/officeDocument/2006/relationships/hyperlink" Target="mailto:info@palata.tomsk.ru" TargetMode="External"/><Relationship Id="rId7" Type="http://schemas.openxmlformats.org/officeDocument/2006/relationships/hyperlink" Target="mailto:info@palata.tomsk.ru" TargetMode="External"/><Relationship Id="rId8" Type="http://schemas.openxmlformats.org/officeDocument/2006/relationships/hyperlink" Target="mailto:info@palata.tomsk.ru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25200</TotalTime>
  <Application>LibreOffice/3.6$Windows_x86 LibreOffice_project/2ef5aff-a6fb0ff-166bdff-cf087ad-0f1389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2015-10-09T03:41:00.00Z</dcterms:created>
  <dc:creator>Лидия Шарухо</dc:creator>
  <cp:lastPrinted>2015-10-23T04:17:00.00Z</cp:lastPrinted>
  <dcterms:modified xsi:type="dcterms:W3CDTF">2015-12-27T15:26:17.09Z</dcterms:modified>
  <cp:revision>11</cp:revision>
</cp:coreProperties>
</file>