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Ind w:w="575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93"/>
              <w:ind w:right="0"/>
              <w:jc w:val="left"/>
              <w:spacing w:before="480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textDirection w:val="lrTb"/>
            <w:noWrap w:val="false"/>
          </w:tcPr>
          <w:p>
            <w:pPr>
              <w:pStyle w:val="993"/>
              <w:ind w:right="0"/>
              <w:jc w:val="right"/>
              <w:spacing w:before="480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93"/>
              <w:ind w:right="0"/>
              <w:jc w:val="right"/>
              <w:spacing w:before="480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</w:tbl>
    <w:p>
      <w:pPr>
        <w:ind w:firstLine="540"/>
        <w:jc w:val="center"/>
        <w:widowControl w:val="off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ind w:firstLine="540"/>
        <w:jc w:val="center"/>
        <w:widowControl w:val="off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О внесении изменени</w:t>
      </w:r>
      <w:r>
        <w:rPr>
          <w:rFonts w:ascii="PT Astra Serif" w:hAnsi="PT Astra Serif"/>
          <w:sz w:val="26"/>
          <w:szCs w:val="26"/>
          <w:lang w:bidi="en-US"/>
        </w:rPr>
        <w:t xml:space="preserve">я</w:t>
      </w:r>
      <w:r>
        <w:rPr>
          <w:rFonts w:ascii="PT Astra Serif" w:hAnsi="PT Astra Serif"/>
          <w:sz w:val="26"/>
          <w:szCs w:val="26"/>
          <w:lang w:bidi="en-US"/>
        </w:rPr>
        <w:t xml:space="preserve"> в приказ Департамента градостроительного развития </w:t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ind w:firstLine="540"/>
        <w:jc w:val="center"/>
        <w:widowControl w:val="off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Томской области от </w:t>
      </w:r>
      <w:r>
        <w:rPr>
          <w:rFonts w:ascii="PT Astra Serif" w:hAnsi="PT Astra Serif"/>
          <w:sz w:val="26"/>
          <w:szCs w:val="26"/>
          <w:lang w:bidi="en-US"/>
        </w:rPr>
        <w:t xml:space="preserve">06.</w:t>
      </w:r>
      <w:r>
        <w:rPr>
          <w:rFonts w:ascii="PT Astra Serif" w:hAnsi="PT Astra Serif"/>
          <w:sz w:val="26"/>
          <w:szCs w:val="26"/>
          <w:lang w:bidi="en-US"/>
        </w:rPr>
        <w:t xml:space="preserve">11</w:t>
      </w:r>
      <w:r>
        <w:rPr>
          <w:rFonts w:ascii="PT Astra Serif" w:hAnsi="PT Astra Serif"/>
          <w:sz w:val="26"/>
          <w:szCs w:val="26"/>
          <w:lang w:bidi="en-US"/>
        </w:rPr>
        <w:t xml:space="preserve">.202</w:t>
      </w:r>
      <w:r>
        <w:rPr>
          <w:rFonts w:ascii="PT Astra Serif" w:hAnsi="PT Astra Serif"/>
          <w:sz w:val="26"/>
          <w:szCs w:val="26"/>
          <w:lang w:bidi="en-US"/>
        </w:rPr>
        <w:t xml:space="preserve">4</w:t>
      </w:r>
      <w:r>
        <w:rPr>
          <w:rFonts w:ascii="PT Astra Serif" w:hAnsi="PT Astra Serif"/>
          <w:sz w:val="26"/>
          <w:szCs w:val="26"/>
          <w:lang w:bidi="en-US"/>
        </w:rPr>
        <w:t xml:space="preserve"> № </w:t>
      </w:r>
      <w:r>
        <w:rPr>
          <w:rFonts w:ascii="PT Astra Serif" w:hAnsi="PT Astra Serif"/>
          <w:sz w:val="26"/>
          <w:szCs w:val="26"/>
          <w:lang w:bidi="en-US"/>
        </w:rPr>
        <w:t xml:space="preserve">4</w:t>
      </w:r>
      <w:r>
        <w:rPr>
          <w:rFonts w:ascii="PT Astra Serif" w:hAnsi="PT Astra Serif"/>
          <w:sz w:val="26"/>
          <w:szCs w:val="26"/>
          <w:lang w:bidi="en-US"/>
        </w:rPr>
        <w:t xml:space="preserve">8</w:t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pStyle w:val="100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0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совершенствова</w:t>
      </w:r>
      <w:r>
        <w:rPr>
          <w:rFonts w:ascii="PT Astra Serif" w:hAnsi="PT Astra Serif" w:cs="PT Astra Serif"/>
          <w:sz w:val="26"/>
          <w:szCs w:val="26"/>
        </w:rPr>
        <w:t xml:space="preserve">ния нормативного правового акта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0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6"/>
          <w:szCs w:val="26"/>
        </w:rPr>
        <w:t xml:space="preserve">1. </w:t>
      </w:r>
      <w:r>
        <w:rPr>
          <w:rFonts w:ascii="PT Astra Serif" w:hAnsi="PT Astra Serif"/>
          <w:sz w:val="26"/>
          <w:szCs w:val="26"/>
          <w:lang w:bidi="en-US"/>
        </w:rPr>
        <w:t xml:space="preserve">Внести в приказ Департамента градостроительного развития Томской области от </w:t>
      </w:r>
      <w:r>
        <w:rPr>
          <w:rFonts w:ascii="PT Astra Serif" w:hAnsi="PT Astra Serif"/>
          <w:sz w:val="26"/>
          <w:szCs w:val="26"/>
        </w:rPr>
        <w:t xml:space="preserve">06.</w:t>
      </w:r>
      <w:r>
        <w:rPr>
          <w:rFonts w:ascii="PT Astra Serif" w:hAnsi="PT Astra Serif"/>
          <w:sz w:val="26"/>
          <w:szCs w:val="26"/>
        </w:rPr>
        <w:t xml:space="preserve">11</w:t>
      </w:r>
      <w:r>
        <w:rPr>
          <w:rFonts w:ascii="PT Astra Serif" w:hAnsi="PT Astra Serif"/>
          <w:sz w:val="26"/>
          <w:szCs w:val="26"/>
        </w:rPr>
        <w:t xml:space="preserve">.202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8</w:t>
      </w:r>
      <w:r>
        <w:rPr>
          <w:rFonts w:ascii="PT Astra Serif" w:hAnsi="PT Astra Serif"/>
          <w:sz w:val="26"/>
          <w:szCs w:val="26"/>
          <w:lang w:bidi="en-US"/>
        </w:rPr>
        <w:t xml:space="preserve"> «</w:t>
      </w:r>
      <w:r>
        <w:rPr>
          <w:rFonts w:ascii="PT Astra Serif" w:hAnsi="PT Astra Serif" w:cs="Segoe UI"/>
          <w:spacing w:val="-4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>
        <w:rPr>
          <w:rFonts w:ascii="PT Astra Serif" w:hAnsi="PT Astra Serif" w:cs="Segoe UI"/>
          <w:spacing w:val="-4"/>
          <w:sz w:val="26"/>
          <w:szCs w:val="26"/>
        </w:rPr>
        <w:t xml:space="preserve">«</w:t>
      </w:r>
      <w:r>
        <w:rPr>
          <w:rFonts w:ascii="PT Astra Serif" w:hAnsi="PT Astra Serif" w:cs="Segoe UI"/>
          <w:spacing w:val="-4"/>
          <w:sz w:val="26"/>
          <w:szCs w:val="26"/>
        </w:rPr>
        <w:t xml:space="preserve"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  <w:lang w:bidi="en-US"/>
        </w:rPr>
        <w:t xml:space="preserve">(Официальный интернет-портал правовой информации, http://www.pravo.gov.ru, </w:t>
      </w:r>
      <w:r>
        <w:rPr>
          <w:rFonts w:ascii="PT Astra Serif" w:hAnsi="PT Astra Serif"/>
          <w:sz w:val="26"/>
          <w:szCs w:val="26"/>
          <w:lang w:bidi="en-US"/>
        </w:rPr>
        <w:t xml:space="preserve">08</w:t>
      </w:r>
      <w:r>
        <w:rPr>
          <w:rFonts w:ascii="PT Astra Serif" w:hAnsi="PT Astra Serif"/>
          <w:sz w:val="26"/>
          <w:szCs w:val="26"/>
          <w:lang w:bidi="en-US"/>
        </w:rPr>
        <w:t xml:space="preserve">.11.2024</w:t>
      </w:r>
      <w:r>
        <w:rPr>
          <w:rFonts w:ascii="PT Astra Serif" w:hAnsi="PT Astra Serif"/>
          <w:sz w:val="26"/>
          <w:szCs w:val="26"/>
          <w:lang w:bidi="en-US"/>
        </w:rPr>
        <w:t xml:space="preserve"> №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7001202411080004</w:t>
      </w:r>
      <w:r>
        <w:rPr>
          <w:rFonts w:ascii="PT Astra Serif" w:hAnsi="PT Astra Serif"/>
          <w:sz w:val="26"/>
          <w:szCs w:val="26"/>
          <w:lang w:bidi="en-US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 xml:space="preserve"> изменение, изложив Административный </w:t>
      </w:r>
      <w:hyperlink r:id="rId16" w:tooltip="https://login.consultant.ru/link/?req=doc&amp;base=RLAW091&amp;n=197585&amp;dst=100024" w:history="1">
        <w:r>
          <w:rPr>
            <w:rFonts w:ascii="PT Astra Serif" w:hAnsi="PT Astra Serif" w:cs="PT Astra Serif"/>
            <w:sz w:val="26"/>
            <w:szCs w:val="26"/>
          </w:rPr>
          <w:t xml:space="preserve">регламент</w:t>
        </w:r>
      </w:hyperlink>
      <w:r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«</w:t>
      </w:r>
      <w:r>
        <w:rPr>
          <w:rFonts w:ascii="PT Astra Serif" w:hAnsi="PT Astra Serif" w:cs="Segoe UI"/>
          <w:spacing w:val="-4"/>
          <w:sz w:val="26"/>
          <w:szCs w:val="26"/>
        </w:rPr>
        <w:t xml:space="preserve"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  <w:r>
        <w:rPr>
          <w:rFonts w:ascii="PT Astra Serif" w:hAnsi="PT Astra Serif" w:cs="PT Astra Serif"/>
          <w:sz w:val="26"/>
          <w:szCs w:val="26"/>
        </w:rPr>
        <w:t xml:space="preserve">», утвержденный </w:t>
      </w:r>
      <w:r>
        <w:rPr>
          <w:rFonts w:ascii="PT Astra Serif" w:hAnsi="PT Astra Serif" w:cs="PT Astra Serif"/>
          <w:sz w:val="26"/>
          <w:szCs w:val="26"/>
        </w:rPr>
        <w:t xml:space="preserve">указанным</w:t>
      </w:r>
      <w:r>
        <w:rPr>
          <w:rFonts w:ascii="PT Astra Serif" w:hAnsi="PT Astra Serif" w:cs="PT Astra Serif"/>
          <w:sz w:val="26"/>
          <w:szCs w:val="26"/>
        </w:rPr>
        <w:t xml:space="preserve"> приказом, в редакции согласно </w:t>
      </w:r>
      <w:hyperlink r:id="rId17" w:tooltip="https://login.consultant.ru/link/?req=doc&amp;base=RLAW091&amp;n=198265&amp;dst=100009" w:history="1">
        <w:r>
          <w:rPr>
            <w:rFonts w:ascii="PT Astra Serif" w:hAnsi="PT Astra Serif" w:cs="PT Astra Serif"/>
            <w:sz w:val="26"/>
            <w:szCs w:val="26"/>
          </w:rPr>
          <w:t xml:space="preserve">приложению</w:t>
        </w:r>
      </w:hyperlink>
      <w:r>
        <w:rPr>
          <w:rFonts w:ascii="PT Astra Serif" w:hAnsi="PT Astra Serif" w:cs="PT Astra Serif"/>
          <w:sz w:val="26"/>
          <w:szCs w:val="26"/>
        </w:rPr>
        <w:t xml:space="preserve"> к настоящему приказу.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0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0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Настоящий приказ вступает в силу со дня его официального опубликования.</w:t>
      </w:r>
      <w:r>
        <w:rPr>
          <w:rFonts w:ascii="PT Astra Serif" w:hAnsi="PT Astra Serif" w:cs="PT Astra Serif"/>
          <w:sz w:val="26"/>
          <w:szCs w:val="26"/>
        </w:rPr>
      </w:r>
    </w:p>
    <w:tbl>
      <w:tblPr>
        <w:tblW w:w="1072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5"/>
        <w:gridCol w:w="3588"/>
        <w:gridCol w:w="2876"/>
      </w:tblGrid>
      <w:tr>
        <w:tblPrEx/>
        <w:trPr>
          <w:trHeight w:val="387"/>
        </w:trPr>
        <w:tc>
          <w:tcPr>
            <w:shd w:val="clear" w:color="ffffff" w:fill="ffffff"/>
            <w:tcW w:w="4265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И.о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. начальника департамента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W w:w="3588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W w:w="2876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Calibr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</w:r>
          </w:p>
          <w:p>
            <w:pPr>
              <w:rPr>
                <w:rFonts w:ascii="PT Astra Serif" w:hAnsi="PT Astra Serif" w:eastAsia="Calibr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</w:r>
          </w:p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       </w:t>
            </w: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А.А. Татаурова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</w:tbl>
    <w:p>
      <w:pPr>
        <w:pStyle w:val="837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37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Мандракова Светлана Александровна</w:t>
      </w:r>
      <w:r>
        <w:rPr>
          <w:rFonts w:ascii="PT Astra Serif" w:hAnsi="PT Astra Serif"/>
          <w:sz w:val="18"/>
          <w:szCs w:val="18"/>
        </w:rPr>
      </w:r>
    </w:p>
    <w:p>
      <w:pPr>
        <w:pStyle w:val="837"/>
        <w:rPr>
          <w:rFonts w:ascii="PT Astra Serif" w:hAnsi="PT Astra Serif"/>
          <w:sz w:val="18"/>
          <w:szCs w:val="18"/>
          <w:shd w:val="clear" w:color="auto" w:fill="ffffff"/>
        </w:rPr>
      </w:pPr>
      <w:r/>
      <w:hyperlink r:id="rId18" w:tooltip="mailto:mandrakovasa@dgr.tomsk.gov.ru" w:history="1">
        <w:r>
          <w:rPr>
            <w:rStyle w:val="976"/>
            <w:rFonts w:ascii="PT Astra Serif" w:hAnsi="PT Astra Serif" w:eastAsia="Arial"/>
            <w:color w:val="auto"/>
            <w:sz w:val="18"/>
            <w:szCs w:val="18"/>
            <w:u w:val="none"/>
            <w:shd w:val="clear" w:color="auto" w:fill="ffffff"/>
          </w:rPr>
          <w:t xml:space="preserve">mandrakovasa@dgr.tomsk.gov.ru</w:t>
        </w:r>
      </w:hyperlink>
      <w:r/>
      <w:r>
        <w:rPr>
          <w:rFonts w:ascii="PT Astra Serif" w:hAnsi="PT Astra Serif"/>
          <w:sz w:val="18"/>
          <w:szCs w:val="18"/>
          <w:shd w:val="clear" w:color="auto" w:fill="ffffff"/>
        </w:rPr>
      </w:r>
    </w:p>
    <w:p>
      <w:pPr>
        <w:rPr>
          <w:rFonts w:ascii="PT Astra Serif" w:hAnsi="PT Astra Serif" w:eastAsia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(3822) 709-047</w:t>
      </w:r>
      <w:r>
        <w:rPr>
          <w:rFonts w:ascii="PT Astra Serif" w:hAnsi="PT Astra Serif" w:eastAsia="PT Astra Serif" w:cs="PT Astra Serif"/>
          <w:sz w:val="18"/>
          <w:szCs w:val="18"/>
        </w:rPr>
      </w:r>
    </w:p>
    <w:p>
      <w:pPr>
        <w:pStyle w:val="1000"/>
        <w:jc w:val="both"/>
        <w:tabs>
          <w:tab w:val="left" w:pos="7935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right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к приказу 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jc w:val="right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Департамента градостроительного развития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jc w:val="right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Томской области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fldChar w:fldCharType="begin"/>
      </w:r>
      <w:r>
        <w:rPr>
          <w:rFonts w:ascii="PT Astra Serif" w:hAnsi="PT Astra Serif" w:eastAsia="PT Astra Serif" w:cs="PT Astra Serif"/>
          <w:sz w:val="24"/>
          <w:szCs w:val="24"/>
        </w:rPr>
        <w:instrText xml:space="preserve"> FORMTEXT </w:instrText>
      </w:r>
      <w:r>
        <w:rPr>
          <w:rFonts w:ascii="PT Astra Serif" w:hAnsi="PT Astra Serif" w:eastAsia="PT Astra Serif" w:cs="PT Astra Serif"/>
          <w:sz w:val="24"/>
          <w:szCs w:val="24"/>
        </w:rPr>
        <w:fldChar w:fldCharType="separate"/>
      </w:r>
      <w:r>
        <w:rPr>
          <w:rFonts w:ascii="PT Astra Serif" w:hAnsi="PT Astra Serif" w:eastAsia="PT Astra Serif" w:cs="PT Astra Serif"/>
          <w:sz w:val="24"/>
          <w:szCs w:val="24"/>
        </w:rPr>
        <w:t xml:space="preserve">&lt;Дата&gt;</w:t>
      </w:r>
      <w:r>
        <w:rPr>
          <w:rFonts w:ascii="PT Astra Serif" w:hAnsi="PT Astra Serif" w:eastAsia="PT Astra Serif" w:cs="PT Astra Serif"/>
          <w:sz w:val="24"/>
          <w:szCs w:val="24"/>
        </w:rPr>
        <w:fldChar w:fldCharType="end"/>
      </w:r>
      <w:r>
        <w:rPr>
          <w:rFonts w:ascii="PT Astra Serif" w:hAnsi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fldChar w:fldCharType="begin"/>
      </w:r>
      <w:r>
        <w:rPr>
          <w:rFonts w:ascii="PT Astra Serif" w:hAnsi="PT Astra Serif" w:eastAsia="PT Astra Serif" w:cs="PT Astra Serif"/>
          <w:sz w:val="24"/>
          <w:szCs w:val="24"/>
        </w:rPr>
        <w:instrText xml:space="preserve"> FORMTEXT </w:instrText>
      </w:r>
      <w:r>
        <w:rPr>
          <w:rFonts w:ascii="PT Astra Serif" w:hAnsi="PT Astra Serif" w:eastAsia="PT Astra Serif" w:cs="PT Astra Serif"/>
          <w:sz w:val="24"/>
          <w:szCs w:val="24"/>
        </w:rPr>
        <w:fldChar w:fldCharType="separate"/>
      </w:r>
      <w:r>
        <w:rPr>
          <w:rFonts w:ascii="PT Astra Serif" w:hAnsi="PT Astra Serif" w:eastAsia="PT Astra Serif" w:cs="PT Astra Serif"/>
          <w:sz w:val="24"/>
          <w:szCs w:val="24"/>
        </w:rPr>
        <w:t xml:space="preserve">&lt;Номер&gt;</w:t>
      </w:r>
      <w:r>
        <w:rPr>
          <w:rFonts w:ascii="PT Astra Serif" w:hAnsi="PT Astra Serif" w:eastAsia="PT Astra Serif" w:cs="PT Astra Serif"/>
          <w:sz w:val="24"/>
          <w:szCs w:val="24"/>
        </w:rPr>
        <w:fldChar w:fldCharType="end"/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jc w:val="right"/>
        <w:rPr>
          <w:rFonts w:ascii="PT Astra Serif" w:hAnsi="PT Astra Serif" w:cs="PT Astra Serif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0"/>
      </w:pPr>
      <w:r>
        <w:rPr>
          <w:rFonts w:ascii="PT Astra Serif" w:hAnsi="PT Astra Serif" w:cs="PT Astra Serif"/>
          <w:sz w:val="24"/>
          <w:szCs w:val="24"/>
        </w:rPr>
        <w:t xml:space="preserve">Приложение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к приказу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right"/>
        <w:rPr>
          <w:rFonts w:ascii="PT Astra Serif" w:hAnsi="PT Astra Serif" w:cs="PT Astra Serif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4"/>
          <w:szCs w:val="24"/>
        </w:rPr>
        <w:t xml:space="preserve">Департамента градостроительного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right"/>
        <w:rPr>
          <w:rFonts w:ascii="PT Astra Serif" w:hAnsi="PT Astra Serif" w:cs="PT Astra Serif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4"/>
          <w:szCs w:val="24"/>
        </w:rPr>
        <w:t xml:space="preserve">развития Томской области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right"/>
        <w:rPr>
          <w:rFonts w:ascii="PT Astra Serif" w:hAnsi="PT Astra Serif" w:cs="PT Astra Serif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4"/>
          <w:szCs w:val="24"/>
        </w:rPr>
        <w:t xml:space="preserve">от 06.</w:t>
      </w:r>
      <w:r>
        <w:rPr>
          <w:rFonts w:ascii="PT Astra Serif" w:hAnsi="PT Astra Serif" w:cs="PT Astra Serif"/>
          <w:sz w:val="24"/>
          <w:szCs w:val="24"/>
        </w:rPr>
        <w:t xml:space="preserve">11</w:t>
      </w:r>
      <w:r>
        <w:rPr>
          <w:rFonts w:ascii="PT Astra Serif" w:hAnsi="PT Astra Serif" w:cs="PT Astra Serif"/>
          <w:sz w:val="24"/>
          <w:szCs w:val="24"/>
        </w:rPr>
        <w:t xml:space="preserve">.202</w:t>
      </w:r>
      <w:r>
        <w:rPr>
          <w:rFonts w:ascii="PT Astra Serif" w:hAnsi="PT Astra Serif" w:cs="PT Astra Serif"/>
          <w:sz w:val="24"/>
          <w:szCs w:val="24"/>
        </w:rPr>
        <w:t xml:space="preserve">4</w:t>
      </w:r>
      <w:r>
        <w:rPr>
          <w:rFonts w:ascii="PT Astra Serif" w:hAnsi="PT Astra Serif" w:cs="PT Astra Serif"/>
          <w:sz w:val="24"/>
          <w:szCs w:val="24"/>
        </w:rPr>
        <w:t xml:space="preserve"> № </w:t>
      </w:r>
      <w:r>
        <w:rPr>
          <w:rFonts w:ascii="PT Astra Serif" w:hAnsi="PT Astra Serif" w:cs="PT Astra Serif"/>
          <w:sz w:val="24"/>
          <w:szCs w:val="24"/>
        </w:rPr>
        <w:t xml:space="preserve">48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1004"/>
        <w:ind w:firstLine="709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Административный регламент предоставления государственной услуги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«</w:t>
      </w:r>
      <w:r>
        <w:rPr>
          <w:rFonts w:ascii="PT Astra Serif" w:hAnsi="PT Astra Serif" w:cs="Segoe UI"/>
          <w:spacing w:val="-4"/>
          <w:sz w:val="24"/>
          <w:szCs w:val="24"/>
        </w:rPr>
        <w:t xml:space="preserve"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  <w:r>
        <w:rPr>
          <w:rFonts w:ascii="PT Astra Serif" w:hAnsi="PT Astra Serif"/>
          <w:sz w:val="24"/>
          <w:szCs w:val="24"/>
        </w:rPr>
        <w:t xml:space="preserve">»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709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04"/>
        <w:numPr>
          <w:ilvl w:val="0"/>
          <w:numId w:val="9"/>
        </w:numPr>
        <w:ind w:left="0"/>
        <w:jc w:val="center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  <w:t xml:space="preserve">Общие положения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 Административный регламент предоставления государственной услуги </w:t>
      </w:r>
      <w:r>
        <w:rPr>
          <w:rFonts w:ascii="PT Astra Serif" w:hAnsi="PT Astra Serif"/>
          <w:sz w:val="24"/>
          <w:szCs w:val="24"/>
        </w:rPr>
        <w:t xml:space="preserve">«</w:t>
      </w:r>
      <w:r>
        <w:rPr>
          <w:rFonts w:ascii="PT Astra Serif" w:hAnsi="PT Astra Serif"/>
          <w:sz w:val="24"/>
          <w:szCs w:val="24"/>
        </w:rPr>
        <w:t xml:space="preserve"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  <w:r>
        <w:rPr>
          <w:rFonts w:ascii="PT Astra Serif" w:hAnsi="PT Astra Serif"/>
          <w:sz w:val="24"/>
          <w:szCs w:val="24"/>
        </w:rPr>
        <w:t xml:space="preserve">»</w:t>
      </w:r>
      <w:r>
        <w:rPr>
          <w:rFonts w:ascii="PT Astra Serif" w:hAnsi="PT Astra Serif"/>
          <w:sz w:val="24"/>
          <w:szCs w:val="24"/>
        </w:rPr>
        <w:t xml:space="preserve"> (далее - административный регламент, государственная услуга) устанавливает стандарт предоставления государственной услуги.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части 1 статьи 13 Федерального закона от 27.07.2010 </w:t>
      </w:r>
      <w:r>
        <w:rPr>
          <w:rFonts w:ascii="PT Astra Serif" w:hAnsi="PT Astra Serif"/>
          <w:sz w:val="24"/>
          <w:szCs w:val="24"/>
        </w:rPr>
        <w:t xml:space="preserve">№</w:t>
      </w:r>
      <w:r>
        <w:rPr>
          <w:rFonts w:ascii="PT Astra Serif" w:hAnsi="PT Astra Serif"/>
          <w:sz w:val="24"/>
          <w:szCs w:val="24"/>
        </w:rPr>
        <w:t xml:space="preserve"> 210-ФЗ </w:t>
      </w:r>
      <w:r>
        <w:rPr>
          <w:rFonts w:ascii="PT Astra Serif" w:hAnsi="PT Astra Serif"/>
          <w:sz w:val="24"/>
          <w:szCs w:val="24"/>
        </w:rPr>
        <w:t xml:space="preserve">«</w:t>
      </w:r>
      <w:r>
        <w:rPr>
          <w:rFonts w:ascii="PT Astra Serif" w:hAnsi="PT Astra Serif"/>
          <w:sz w:val="24"/>
          <w:szCs w:val="24"/>
        </w:rPr>
        <w:t xml:space="preserve">Об организации предоставления государственных и муниципальных услуг</w:t>
      </w:r>
      <w:r>
        <w:rPr>
          <w:rFonts w:ascii="PT Astra Serif" w:hAnsi="PT Astra Serif"/>
          <w:sz w:val="24"/>
          <w:szCs w:val="24"/>
        </w:rPr>
        <w:t xml:space="preserve">»</w:t>
      </w:r>
      <w:r>
        <w:rPr>
          <w:rFonts w:ascii="PT Astra Serif" w:hAnsi="PT Astra Serif"/>
          <w:sz w:val="24"/>
          <w:szCs w:val="24"/>
        </w:rPr>
        <w:t xml:space="preserve"> (далее - Федеральный закон </w:t>
      </w:r>
      <w:r>
        <w:rPr>
          <w:rFonts w:ascii="PT Astra Serif" w:hAnsi="PT Astra Serif"/>
          <w:sz w:val="24"/>
          <w:szCs w:val="24"/>
        </w:rPr>
        <w:t xml:space="preserve">№</w:t>
      </w:r>
      <w:r>
        <w:rPr>
          <w:rFonts w:ascii="PT Astra Serif" w:hAnsi="PT Astra Serif"/>
          <w:sz w:val="24"/>
          <w:szCs w:val="24"/>
        </w:rPr>
        <w:t xml:space="preserve"> 210-ФЗ), Земельного кодекса Российской Федерации (далее - Земельный кодекс РФ), Закона Томской области от 27.12.2023 </w:t>
      </w:r>
      <w:r>
        <w:rPr>
          <w:rFonts w:ascii="PT Astra Serif" w:hAnsi="PT Astra Serif"/>
          <w:sz w:val="24"/>
          <w:szCs w:val="24"/>
        </w:rPr>
        <w:t xml:space="preserve">№</w:t>
      </w:r>
      <w:r>
        <w:rPr>
          <w:rFonts w:ascii="PT Astra Serif" w:hAnsi="PT Astra Serif"/>
          <w:sz w:val="24"/>
          <w:szCs w:val="24"/>
        </w:rPr>
        <w:t xml:space="preserve"> 126-ОЗ </w:t>
      </w:r>
      <w:r>
        <w:rPr>
          <w:rFonts w:ascii="PT Astra Serif" w:hAnsi="PT Astra Serif"/>
          <w:sz w:val="24"/>
          <w:szCs w:val="24"/>
        </w:rPr>
        <w:t xml:space="preserve">«</w:t>
      </w:r>
      <w:r>
        <w:rPr>
          <w:rFonts w:ascii="PT Astra Serif" w:hAnsi="PT Astra Serif"/>
          <w:sz w:val="24"/>
          <w:szCs w:val="24"/>
        </w:rPr>
        <w:t xml:space="preserve">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</w:t>
      </w:r>
      <w:r>
        <w:rPr>
          <w:rFonts w:ascii="PT Astra Serif" w:hAnsi="PT Astra Serif"/>
          <w:sz w:val="24"/>
          <w:szCs w:val="24"/>
        </w:rPr>
        <w:t xml:space="preserve">»</w:t>
      </w:r>
      <w:r>
        <w:rPr>
          <w:rFonts w:ascii="PT Astra Serif" w:hAnsi="PT Astra Serif"/>
          <w:sz w:val="24"/>
          <w:szCs w:val="24"/>
        </w:rPr>
        <w:t xml:space="preserve"> (далее - Закон </w:t>
      </w:r>
      <w:r>
        <w:rPr>
          <w:rFonts w:ascii="PT Astra Serif" w:hAnsi="PT Astra Serif"/>
          <w:sz w:val="24"/>
          <w:szCs w:val="24"/>
        </w:rPr>
        <w:t xml:space="preserve">№</w:t>
      </w:r>
      <w:r>
        <w:rPr>
          <w:rFonts w:ascii="PT Astra Serif" w:hAnsi="PT Astra Serif"/>
          <w:sz w:val="24"/>
          <w:szCs w:val="24"/>
        </w:rPr>
        <w:t xml:space="preserve"> 126-ОЗ).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 Полномочия Департамента по выдаче уведомления о соответствии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 л</w:t>
      </w:r>
      <w:r>
        <w:rPr>
          <w:rFonts w:ascii="PT Astra Serif" w:hAnsi="PT Astra Serif"/>
          <w:sz w:val="24"/>
          <w:szCs w:val="24"/>
        </w:rPr>
        <w:t xml:space="preserve">ибо о несоответствии построенного или реконструированных объекта индивидуального строительства или садового дома требованиям законодательства о градостроительной деятельности закреплены в статье 8, статье 55 Градостроительного кодекса Российской Федерации.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4. За получением государственной услуги могут обратиться застройщики - физические лица или юридические лица, обеспеч</w:t>
      </w:r>
      <w:r>
        <w:rPr>
          <w:rFonts w:ascii="PT Astra Serif" w:hAnsi="PT Astra Serif"/>
          <w:sz w:val="24"/>
          <w:szCs w:val="24"/>
        </w:rPr>
        <w:t xml:space="preserve">ивающие на принадлежащих им земельных участках строительство, реконструкцию объектов индивидуального жилищного строительства или садового дома (далее - заявители). Уведомление об окончании строительства или реконструкции объекта индивидуального жилищного с</w:t>
      </w:r>
      <w:r>
        <w:rPr>
          <w:rFonts w:ascii="PT Astra Serif" w:hAnsi="PT Astra Serif"/>
          <w:sz w:val="24"/>
          <w:szCs w:val="24"/>
        </w:rPr>
        <w:t xml:space="preserve">троительства или садового дома (далее - уведомление об окончании строительства) (далее также - заявление о предоставлении государственной услуги) может быть подано представителем заявителя, действующим на основании доверенности или ином законном основании.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/>
      <w:bookmarkStart w:id="1" w:name="P53"/>
      <w:r/>
      <w:bookmarkEnd w:id="1"/>
      <w:r>
        <w:rPr>
          <w:rFonts w:ascii="PT Astra Serif" w:hAnsi="PT Astra Serif"/>
          <w:sz w:val="24"/>
          <w:szCs w:val="24"/>
        </w:rPr>
        <w:t xml:space="preserve">5. Информация о государственной услуге предоставляется: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по месту нахождения Департамента в часы работы Департамента, указанные в </w:t>
      </w:r>
      <w:hyperlink w:tooltip="Приложение 1" w:anchor="P166" w:history="1">
        <w:r>
          <w:rPr>
            <w:rFonts w:ascii="PT Astra Serif" w:hAnsi="PT Astra Serif"/>
            <w:sz w:val="24"/>
            <w:szCs w:val="24"/>
          </w:rPr>
          <w:t xml:space="preserve">приложении 1</w:t>
        </w:r>
      </w:hyperlink>
      <w:r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в федеральной государственной информационной системе </w:t>
      </w:r>
      <w:r>
        <w:rPr>
          <w:rFonts w:ascii="PT Astra Serif" w:hAnsi="PT Astra Serif"/>
          <w:sz w:val="24"/>
          <w:szCs w:val="24"/>
        </w:rPr>
        <w:t xml:space="preserve">«</w:t>
      </w:r>
      <w:r>
        <w:rPr>
          <w:rFonts w:ascii="PT Astra Serif" w:hAnsi="PT Astra Serif"/>
          <w:sz w:val="24"/>
          <w:szCs w:val="24"/>
        </w:rPr>
        <w:t xml:space="preserve">Единый портал государственных и муниципальных услуг (функций)</w:t>
      </w:r>
      <w:r>
        <w:rPr>
          <w:rFonts w:ascii="PT Astra Serif" w:hAnsi="PT Astra Serif"/>
          <w:sz w:val="24"/>
          <w:szCs w:val="24"/>
        </w:rPr>
        <w:t xml:space="preserve">»</w:t>
      </w:r>
      <w:r>
        <w:rPr>
          <w:rFonts w:ascii="PT Astra Serif" w:hAnsi="PT Astra Serif"/>
          <w:sz w:val="24"/>
          <w:szCs w:val="24"/>
        </w:rPr>
        <w:t xml:space="preserve"> по адресу: </w:t>
      </w:r>
      <w:hyperlink r:id="rId19" w:tooltip="https://www.gosuslugi.ru" w:history="1">
        <w:r>
          <w:rPr>
            <w:rFonts w:ascii="PT Astra Serif" w:hAnsi="PT Astra Serif"/>
            <w:sz w:val="24"/>
            <w:szCs w:val="24"/>
          </w:rPr>
          <w:t xml:space="preserve">gosuslugi.ru</w:t>
        </w:r>
      </w:hyperlink>
      <w:r>
        <w:rPr>
          <w:rFonts w:ascii="PT Astra Serif" w:hAnsi="PT Astra Serif"/>
          <w:sz w:val="24"/>
          <w:szCs w:val="24"/>
        </w:rPr>
        <w:t xml:space="preserve"> (далее - портал государственных и муниципальных услуг);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r:id="rId20" w:tooltip="https://md.tomsk.ru" w:history="1">
        <w:r>
          <w:rPr>
            <w:rFonts w:ascii="PT Astra Serif" w:hAnsi="PT Astra Serif"/>
            <w:sz w:val="24"/>
            <w:szCs w:val="24"/>
          </w:rPr>
          <w:t xml:space="preserve">md.tomsk.ru</w:t>
        </w:r>
      </w:hyperlink>
      <w:r>
        <w:rPr>
          <w:rFonts w:ascii="PT Astra Serif" w:hAnsi="PT Astra Serif"/>
          <w:sz w:val="24"/>
          <w:szCs w:val="24"/>
        </w:rPr>
        <w:t xml:space="preserve">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4) на официальном сайте Департамента по адресу: </w:t>
      </w:r>
      <w:hyperlink r:id="rId21" w:tooltip="https://dgr.tomsk.gov.ru" w:history="1">
        <w:r>
          <w:rPr>
            <w:rFonts w:ascii="PT Astra Serif" w:hAnsi="PT Astra Serif"/>
            <w:sz w:val="24"/>
            <w:szCs w:val="24"/>
          </w:rPr>
          <w:t xml:space="preserve">dgr.tomsk.gov.ru</w:t>
        </w:r>
      </w:hyperlink>
      <w:r>
        <w:rPr>
          <w:rFonts w:ascii="PT Astra Serif" w:hAnsi="PT Astra Serif"/>
          <w:sz w:val="24"/>
          <w:szCs w:val="24"/>
        </w:rPr>
        <w:t xml:space="preserve"> (далее - сайт Департамента).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Информация о месте нахождения, графике работы, справочные телефоны, адрес электронной почты, официального сайта Департамента, многофункционального центра, портала государственных и муниципальных услуг содержатся в </w:t>
      </w:r>
      <w:hyperlink w:tooltip="Приложение 1" w:anchor="P166" w:history="1">
        <w:r>
          <w:rPr>
            <w:rFonts w:ascii="PT Astra Serif" w:hAnsi="PT Astra Serif"/>
            <w:sz w:val="24"/>
            <w:szCs w:val="24"/>
          </w:rPr>
          <w:t xml:space="preserve">приложении 1</w:t>
        </w:r>
      </w:hyperlink>
      <w:r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6. На информационных стендах и официальном сайте Департамента в информационно-телекоммуникационной сети </w:t>
      </w:r>
      <w:r>
        <w:rPr>
          <w:rFonts w:ascii="PT Astra Serif" w:hAnsi="PT Astra Serif"/>
          <w:sz w:val="24"/>
          <w:szCs w:val="24"/>
        </w:rPr>
        <w:t xml:space="preserve">«</w:t>
      </w:r>
      <w:r>
        <w:rPr>
          <w:rFonts w:ascii="PT Astra Serif" w:hAnsi="PT Astra Serif"/>
          <w:sz w:val="24"/>
          <w:szCs w:val="24"/>
        </w:rPr>
        <w:t xml:space="preserve">Интернет</w:t>
      </w:r>
      <w:r>
        <w:rPr>
          <w:rFonts w:ascii="PT Astra Serif" w:hAnsi="PT Astra Serif"/>
          <w:sz w:val="24"/>
          <w:szCs w:val="24"/>
        </w:rPr>
        <w:t xml:space="preserve">» </w:t>
      </w:r>
      <w:r>
        <w:rPr>
          <w:rFonts w:ascii="PT Astra Serif" w:hAnsi="PT Astra Serif"/>
          <w:sz w:val="24"/>
          <w:szCs w:val="24"/>
        </w:rPr>
        <w:t xml:space="preserve">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перечень нормативных правовых актов, регулирующих предоставление государственной услуги;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перечень лиц, имеющих право на получение государственной услуги;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</w:t>
      </w:r>
      <w:r>
        <w:rPr>
          <w:rFonts w:ascii="PT Astra Serif" w:hAnsi="PT Astra Serif"/>
          <w:sz w:val="24"/>
          <w:szCs w:val="24"/>
        </w:rPr>
        <w:t xml:space="preserve">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4) исчерпывающий пер</w:t>
      </w:r>
      <w:r>
        <w:rPr>
          <w:rFonts w:ascii="PT Astra Serif" w:hAnsi="PT Astra Serif"/>
          <w:sz w:val="24"/>
          <w:szCs w:val="24"/>
        </w:rPr>
        <w:t xml:space="preserve">ечень оснований для отказа в приеме документов, необходимых для предоставления государственной услуги, для возврата заявления о предоставлении государственной услуги, а также оснований для приостановления или отказа в предоставлении государственной услуги;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6) текст настоящего административного регламента;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7) образец заполнения заявления о предоставлении государственной услуги;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8) последовательность административных процедур и сроки предоставления государственной услуги;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</w:t>
      </w:r>
      <w:hyperlink w:tooltip="Приложение 1" w:anchor="P166" w:history="1">
        <w:r>
          <w:rPr>
            <w:rFonts w:ascii="PT Astra Serif" w:hAnsi="PT Astra Serif"/>
            <w:sz w:val="24"/>
            <w:szCs w:val="24"/>
          </w:rPr>
          <w:t xml:space="preserve">приложению 1</w:t>
        </w:r>
      </w:hyperlink>
      <w:r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регламенту);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10) информация о наличии соглашения о взаимодействии между Департаментом и многофункциональным центром.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7. Информирование (консультирование) о порядке предоставления государственной услуги осуществляют специалисты комитета проектно-разрешительной деятельности Департамента, указанные в </w:t>
      </w:r>
      <w:hyperlink w:tooltip="Приложение 1" w:anchor="P166" w:history="1">
        <w:r>
          <w:rPr>
            <w:rFonts w:ascii="PT Astra Serif" w:hAnsi="PT Astra Serif"/>
            <w:sz w:val="24"/>
            <w:szCs w:val="24"/>
          </w:rPr>
          <w:t xml:space="preserve">Приложении 1</w:t>
        </w:r>
      </w:hyperlink>
      <w:r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регламенту, в форме устного информирования или письменного информирования.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Заявитель вправе обратиться в ходе личного приема, по телефону, электронной почте в Департамент в целях получения информации о ходе предоставления государственной услуги.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04"/>
        <w:jc w:val="center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  <w:t xml:space="preserve">2. Стандарт предоставления государственной услуги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8. Наимен</w:t>
      </w:r>
      <w:r>
        <w:rPr>
          <w:rFonts w:ascii="PT Astra Serif" w:hAnsi="PT Astra Serif"/>
          <w:sz w:val="24"/>
          <w:szCs w:val="24"/>
        </w:rPr>
        <w:t xml:space="preserve">ование государственной услуги -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9. Государственную услугу предоставляет Департамент градостроительного развития Томской области.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/>
      <w:bookmarkStart w:id="2" w:name="P78"/>
      <w:r/>
      <w:bookmarkEnd w:id="2"/>
      <w:r>
        <w:rPr>
          <w:rFonts w:ascii="PT Astra Serif" w:hAnsi="PT Astra Serif"/>
          <w:sz w:val="24"/>
          <w:szCs w:val="24"/>
        </w:rPr>
        <w:t xml:space="preserve">10. Результатом предоставления государственной услуги является выдача (направление) заявителю одного из следующих документов: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уведомление о соответствии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уведомление о несоответствии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  <w:highlight w:val="yellow"/>
        </w:rPr>
      </w:pPr>
      <w:r>
        <w:rPr>
          <w:rFonts w:ascii="PT Astra Serif" w:hAnsi="PT Astra Serif"/>
          <w:sz w:val="24"/>
          <w:szCs w:val="24"/>
        </w:rPr>
        <w:t xml:space="preserve">11. Общий срок предоставления государственной услуги составляет 7 рабочих дней со дня регистрации заявления о предоставлении государственной услуги.</w:t>
      </w:r>
      <w:r>
        <w:rPr>
          <w:rFonts w:ascii="PT Astra Serif" w:hAnsi="PT Astra Serif"/>
          <w:sz w:val="24"/>
          <w:szCs w:val="24"/>
          <w:highlight w:val="yellow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</w:t>
      </w:r>
      <w:r>
        <w:rPr>
          <w:rFonts w:ascii="PT Astra Serif" w:hAnsi="PT Astra Serif"/>
          <w:sz w:val="24"/>
          <w:szCs w:val="24"/>
        </w:rPr>
        <w:t xml:space="preserve">2</w:t>
      </w:r>
      <w:r>
        <w:rPr>
          <w:rFonts w:ascii="PT Astra Serif" w:hAnsi="PT Astra Serif"/>
          <w:sz w:val="24"/>
          <w:szCs w:val="24"/>
        </w:rPr>
        <w:t xml:space="preserve">. Исчерпывающий перечень </w:t>
      </w:r>
      <w:hyperlink w:tooltip="ДОКУМЕНТЫ," w:anchor="P221" w:history="1">
        <w:r>
          <w:rPr>
            <w:rFonts w:ascii="PT Astra Serif" w:hAnsi="PT Astra Serif"/>
            <w:sz w:val="24"/>
            <w:szCs w:val="24"/>
          </w:rPr>
          <w:t xml:space="preserve">документов</w:t>
        </w:r>
      </w:hyperlink>
      <w:r>
        <w:rPr>
          <w:rFonts w:ascii="PT Astra Serif" w:hAnsi="PT Astra Serif"/>
          <w:sz w:val="24"/>
          <w:szCs w:val="24"/>
        </w:rPr>
        <w:t xml:space="preserve">, необходимых для предоставления государственной услуги, представлен в таблице приложения 2 к настоящему административному регламенту.</w:t>
      </w:r>
      <w:r>
        <w:rPr>
          <w:rFonts w:ascii="PT Astra Serif" w:hAnsi="PT Astra Serif"/>
          <w:sz w:val="24"/>
          <w:szCs w:val="24"/>
        </w:rPr>
      </w:r>
    </w:p>
    <w:p>
      <w:pPr>
        <w:ind w:left="0" w:right="0" w:firstLine="540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sz w:val="24"/>
          <w:szCs w:val="24"/>
        </w:rPr>
        <w:t xml:space="preserve">1</w:t>
      </w:r>
      <w:r>
        <w:rPr>
          <w:rFonts w:ascii="PT Astra Serif" w:hAnsi="PT Astra Serif"/>
          <w:sz w:val="24"/>
          <w:szCs w:val="24"/>
        </w:rPr>
        <w:t xml:space="preserve">2</w:t>
      </w:r>
      <w:r>
        <w:rPr>
          <w:rFonts w:ascii="PT Astra Serif" w:hAnsi="PT Astra Serif"/>
          <w:sz w:val="24"/>
          <w:szCs w:val="24"/>
        </w:rPr>
        <w:t xml:space="preserve">.1.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Форма заявления о предоставлении государственной услуги (уведомления) установлена приказом </w:t>
      </w:r>
      <w:r>
        <w:rPr>
          <w:rFonts w:ascii="PT Astra Serif" w:hAnsi="PT Astra Serif" w:eastAsia="PT Astra Serif" w:cs="PT Astra Serif"/>
          <w:color w:val="000000"/>
          <w:spacing w:val="-4"/>
          <w:sz w:val="24"/>
        </w:rPr>
        <w:t xml:space="preserve">Минстроя России от 19.09.2018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дома».</w:t>
      </w:r>
      <w:r/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/>
      <w:r>
        <w:rPr>
          <w:sz w:val="22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</w:t>
      </w:r>
      <w:r>
        <w:rPr>
          <w:rFonts w:ascii="PT Astra Serif" w:hAnsi="PT Astra Serif"/>
          <w:sz w:val="24"/>
          <w:szCs w:val="24"/>
        </w:rPr>
        <w:t xml:space="preserve">3</w:t>
      </w:r>
      <w:r>
        <w:rPr>
          <w:rFonts w:ascii="PT Astra Serif" w:hAnsi="PT Astra Serif"/>
          <w:sz w:val="24"/>
          <w:szCs w:val="24"/>
        </w:rPr>
        <w:t xml:space="preserve">. Заявления и документы (сведения), предусмотренные пунктами 1</w:t>
      </w:r>
      <w:r>
        <w:rPr>
          <w:rFonts w:ascii="PT Astra Serif" w:hAnsi="PT Astra Serif"/>
          <w:sz w:val="24"/>
          <w:szCs w:val="24"/>
        </w:rPr>
        <w:t xml:space="preserve">2</w:t>
      </w:r>
      <w:r>
        <w:rPr>
          <w:rFonts w:ascii="PT Astra Serif" w:hAnsi="PT Astra Serif"/>
          <w:sz w:val="24"/>
          <w:szCs w:val="24"/>
        </w:rPr>
        <w:t xml:space="preserve">, 1</w:t>
      </w:r>
      <w:r>
        <w:rPr>
          <w:rFonts w:ascii="PT Astra Serif" w:hAnsi="PT Astra Serif"/>
          <w:sz w:val="24"/>
          <w:szCs w:val="24"/>
        </w:rPr>
        <w:t xml:space="preserve">2</w:t>
      </w:r>
      <w:r>
        <w:rPr>
          <w:rFonts w:ascii="PT Astra Serif" w:hAnsi="PT Astra Serif"/>
          <w:sz w:val="24"/>
          <w:szCs w:val="24"/>
        </w:rPr>
        <w:t xml:space="preserve">.1 настоящего административного регламента, могут быть представлены (направлены) заявителем: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лично в Департамент в часы приема документов, указанные в </w:t>
      </w:r>
      <w:hyperlink w:tooltip="Приложение 1" w:anchor="P166" w:history="1">
        <w:r>
          <w:rPr>
            <w:rFonts w:ascii="PT Astra Serif" w:hAnsi="PT Astra Serif"/>
            <w:sz w:val="24"/>
            <w:szCs w:val="24"/>
          </w:rPr>
          <w:t xml:space="preserve">приложении 1</w:t>
        </w:r>
      </w:hyperlink>
      <w:r>
        <w:rPr>
          <w:rFonts w:ascii="PT Astra Serif" w:hAnsi="PT Astra Serif"/>
          <w:sz w:val="24"/>
          <w:szCs w:val="24"/>
        </w:rPr>
        <w:t xml:space="preserve"> к административному регламенту;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электронном виде с использованием единого портала государственных и муниципальных услуг;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Адреса для подачи (направления) заявления о предоставлении государственной услуги на бумажном носителе (при личном обращении), адрес портала государственных и муниципальных услуг указаны в </w:t>
      </w:r>
      <w:hyperlink w:tooltip="Приложение 1" w:anchor="P166" w:history="1">
        <w:r>
          <w:rPr>
            <w:rFonts w:ascii="PT Astra Serif" w:hAnsi="PT Astra Serif"/>
            <w:sz w:val="24"/>
            <w:szCs w:val="24"/>
          </w:rPr>
          <w:t xml:space="preserve">приложении 1</w:t>
        </w:r>
      </w:hyperlink>
      <w:r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</w:t>
      </w:r>
      <w:r>
        <w:rPr>
          <w:rFonts w:ascii="PT Astra Serif" w:hAnsi="PT Astra Serif"/>
          <w:sz w:val="24"/>
          <w:szCs w:val="24"/>
        </w:rPr>
        <w:t xml:space="preserve">4</w:t>
      </w:r>
      <w:r>
        <w:rPr>
          <w:rFonts w:ascii="PT Astra Serif" w:hAnsi="PT Astra Serif"/>
          <w:sz w:val="24"/>
          <w:szCs w:val="24"/>
        </w:rPr>
        <w:t xml:space="preserve">. Исчерпывающий перечень оснований для отказа в приеме заявления о предоставлении государственной услуги и прилагаемых к нему документов: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отсутствие в уведомлении об окончании строительства сведений о: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а) фамилии, имени, отчестве (при наличии), месте жительства застройщика, реквизитах документа, удостоверяющего личность (для физического лица);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б) наименовании и месте нахождения застройщика (для юридического лица), а также государств</w:t>
      </w:r>
      <w:r>
        <w:rPr>
          <w:rFonts w:ascii="PT Astra Serif" w:hAnsi="PT Astra Serif"/>
          <w:sz w:val="24"/>
          <w:szCs w:val="24"/>
        </w:rPr>
        <w:t xml:space="preserve">енном регистрационном номере записи о государственной регистрации юридического лица в едином государственном реестре юридических лиц и идентификационном номере налогоплательщика, за исключением случая, если заявителем является иностранное юридическое лицо;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в) кадастровом номере земельного участка (при его наличии), адресе или описании местоположения земельного участка;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г) праве застройщика на земельный участок, а также сведений о наличии прав иных лиц на земельный участок (при наличии таких лиц);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д)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е) о том, что объект индивидуального жилищного строительства или садовый дом не предназначен для раздела на самостоятельные объекты недвижимости;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ж) почтовом адресе и (или) адресе электронной почты для связи с застройщиком;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з) параметрах построенных или реконструированных объектах индивидуального жилищного строительства или садового дома;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и) об оплате государственной пошлины за осуществление государственной регистрации прав;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к) способе направления застройщику уведомлений, предусмотренных </w:t>
      </w:r>
      <w:hyperlink w:tooltip="10. Результатом предоставления государственной услуги является выдача (направление) заявителю одного из следующих документов:" w:anchor="P78" w:history="1">
        <w:r>
          <w:rPr>
            <w:rFonts w:ascii="PT Astra Serif" w:hAnsi="PT Astra Serif"/>
            <w:sz w:val="24"/>
            <w:szCs w:val="24"/>
          </w:rPr>
          <w:t xml:space="preserve">пунктом 10</w:t>
        </w:r>
      </w:hyperlink>
      <w:r>
        <w:rPr>
          <w:rFonts w:ascii="PT Astra Serif" w:hAnsi="PT Astra Serif"/>
          <w:sz w:val="24"/>
          <w:szCs w:val="24"/>
        </w:rPr>
        <w:t xml:space="preserve"> настоящего административного регламента;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непредставление с уведомлением об окончании строительства документов, указанных в </w:t>
      </w:r>
      <w:hyperlink w:tooltip="3" w:anchor="P259" w:history="1">
        <w:r>
          <w:rPr>
            <w:rFonts w:ascii="PT Astra Serif" w:hAnsi="PT Astra Serif"/>
            <w:sz w:val="24"/>
            <w:szCs w:val="24"/>
          </w:rPr>
          <w:t xml:space="preserve">пунктах 3</w:t>
        </w:r>
      </w:hyperlink>
      <w:r>
        <w:rPr>
          <w:rFonts w:ascii="PT Astra Serif" w:hAnsi="PT Astra Serif"/>
          <w:sz w:val="24"/>
          <w:szCs w:val="24"/>
        </w:rPr>
        <w:t xml:space="preserve">, </w:t>
      </w:r>
      <w:hyperlink w:tooltip="5" w:anchor="P271" w:history="1">
        <w:r>
          <w:rPr>
            <w:rFonts w:ascii="PT Astra Serif" w:hAnsi="PT Astra Serif"/>
            <w:sz w:val="24"/>
            <w:szCs w:val="24"/>
          </w:rPr>
          <w:t xml:space="preserve">5</w:t>
        </w:r>
      </w:hyperlink>
      <w:r>
        <w:rPr>
          <w:rFonts w:ascii="PT Astra Serif" w:hAnsi="PT Astra Serif"/>
          <w:sz w:val="24"/>
          <w:szCs w:val="24"/>
        </w:rPr>
        <w:t xml:space="preserve">, </w:t>
      </w:r>
      <w:hyperlink w:tooltip="6" w:anchor="P277" w:history="1">
        <w:r>
          <w:rPr>
            <w:rFonts w:ascii="PT Astra Serif" w:hAnsi="PT Astra Serif"/>
            <w:sz w:val="24"/>
            <w:szCs w:val="24"/>
          </w:rPr>
          <w:t xml:space="preserve">6</w:t>
        </w:r>
      </w:hyperlink>
      <w:r>
        <w:rPr>
          <w:rFonts w:ascii="PT Astra Serif" w:hAnsi="PT Astra Serif"/>
          <w:sz w:val="24"/>
          <w:szCs w:val="24"/>
        </w:rPr>
        <w:t xml:space="preserve">, </w:t>
      </w:r>
      <w:hyperlink w:tooltip="7" w:anchor="P283" w:history="1">
        <w:r>
          <w:rPr>
            <w:rFonts w:ascii="PT Astra Serif" w:hAnsi="PT Astra Serif"/>
            <w:sz w:val="24"/>
            <w:szCs w:val="24"/>
          </w:rPr>
          <w:t xml:space="preserve">7</w:t>
        </w:r>
      </w:hyperlink>
      <w:r>
        <w:rPr>
          <w:rFonts w:ascii="PT Astra Serif" w:hAnsi="PT Astra Serif"/>
          <w:sz w:val="24"/>
          <w:szCs w:val="24"/>
        </w:rPr>
        <w:t xml:space="preserve"> приложения 2 к настоящему административному регламенту;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уведомление об око</w:t>
      </w:r>
      <w:r>
        <w:rPr>
          <w:rFonts w:ascii="PT Astra Serif" w:hAnsi="PT Astra Serif"/>
          <w:sz w:val="24"/>
          <w:szCs w:val="24"/>
        </w:rPr>
        <w:t xml:space="preserve">нчании строительства поступило после истечения десяти лет со дня поступления уведомления о планируемом строительстве, в соответствии с которым осуществлялись строительство или реконструкция объекта индивидуального жилищного строительства или садового дома;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4) </w:t>
      </w:r>
      <w:r>
        <w:rPr>
          <w:rFonts w:ascii="PT Astra Serif" w:hAnsi="PT Astra Serif"/>
          <w:sz w:val="24"/>
          <w:szCs w:val="24"/>
        </w:rPr>
        <w:t xml:space="preserve">уведомление о планируемом строительстве объекта индивидуального жилищного строительства или садового дома ранее не направлялось (в том числе было возвращено застройщику в соответствии с частью 6 статьи 51.1 Градостроительного кодекса Российской Федерации).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</w:t>
      </w:r>
      <w:r>
        <w:rPr>
          <w:rFonts w:ascii="PT Astra Serif" w:hAnsi="PT Astra Serif"/>
          <w:sz w:val="24"/>
          <w:szCs w:val="24"/>
        </w:rPr>
        <w:t xml:space="preserve">5</w:t>
      </w:r>
      <w:r>
        <w:rPr>
          <w:rFonts w:ascii="PT Astra Serif" w:hAnsi="PT Astra Serif"/>
          <w:sz w:val="24"/>
          <w:szCs w:val="24"/>
        </w:rPr>
        <w:t xml:space="preserve">. Исчерпывающий перечень оснований для отказа в предоставлении государственной услуги: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параметры построенного или реконструированного объекта индивидуального жи</w:t>
      </w:r>
      <w:r>
        <w:rPr>
          <w:rFonts w:ascii="PT Astra Serif" w:hAnsi="PT Astra Serif"/>
          <w:sz w:val="24"/>
          <w:szCs w:val="24"/>
        </w:rPr>
        <w:t xml:space="preserve">лищного строительства или садового дома не соответствуют указанным в пункте 1 части 19 статьи 55 Градостроительного кодекса Российской Федерации предельным параметрам разрешенного строительства, реконструкции объектов капитального строительства, установлен</w:t>
      </w:r>
      <w:r>
        <w:rPr>
          <w:rFonts w:ascii="PT Astra Serif" w:hAnsi="PT Astra Serif"/>
          <w:sz w:val="24"/>
          <w:szCs w:val="24"/>
        </w:rPr>
        <w:t xml:space="preserve">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Градостроительным кодексом Российской Федерации, другими федеральными законами;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внешний облик объекта индивидуального жилищного строительства или садового дома не соответствует описанию внешнего облика таких объекта или до</w:t>
      </w:r>
      <w:r>
        <w:rPr>
          <w:rFonts w:ascii="PT Astra Serif" w:hAnsi="PT Astra Serif"/>
          <w:sz w:val="24"/>
          <w:szCs w:val="24"/>
        </w:rPr>
        <w:t xml:space="preserve">ма, являющемуся приложением к уведомлению о планируемом строительстве, или типовому архитектурному решению, указанному в уведомлении о планируемом строительстве, или застройщику было направлено уведомление о несоответствии указанных в уведомлении о планиру</w:t>
      </w:r>
      <w:r>
        <w:rPr>
          <w:rFonts w:ascii="PT Astra Serif" w:hAnsi="PT Astra Serif"/>
          <w:sz w:val="24"/>
          <w:szCs w:val="24"/>
        </w:rPr>
        <w:t xml:space="preserve">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по основанию, </w:t>
      </w:r>
      <w:r>
        <w:rPr>
          <w:rFonts w:ascii="PT Astra Serif" w:hAnsi="PT Astra Serif"/>
          <w:sz w:val="24"/>
          <w:szCs w:val="24"/>
        </w:rPr>
        <w:t xml:space="preserve">указанному в пункте 4 части 10 статьи 51.1 Градостроительного кодекса Российской Федерации,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значения;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вид </w:t>
      </w:r>
      <w:r>
        <w:rPr>
          <w:rFonts w:ascii="PT Astra Serif" w:hAnsi="PT Astra Serif"/>
          <w:sz w:val="24"/>
          <w:szCs w:val="24"/>
        </w:rPr>
        <w:t xml:space="preserve">разрешенного использования</w:t>
      </w:r>
      <w:r>
        <w:rPr>
          <w:rFonts w:ascii="PT Astra Serif" w:hAnsi="PT Astra Serif"/>
          <w:sz w:val="24"/>
          <w:szCs w:val="24"/>
        </w:rPr>
        <w:t xml:space="preserve">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дома, указанному в уведомлении о планируемом строительстве;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4) размещение объекта индивидуального жилищного строительства или садового дома не доп</w:t>
      </w:r>
      <w:r>
        <w:rPr>
          <w:rFonts w:ascii="PT Astra Serif" w:hAnsi="PT Astra Serif"/>
          <w:sz w:val="24"/>
          <w:szCs w:val="24"/>
        </w:rPr>
        <w:t xml:space="preserve">ускается в соответствии с ограничениями, установленными в соответствии с земельным и иным 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</w:t>
      </w:r>
      <w:r>
        <w:rPr>
          <w:rFonts w:ascii="PT Astra Serif" w:hAnsi="PT Astra Serif"/>
          <w:sz w:val="24"/>
          <w:szCs w:val="24"/>
        </w:rPr>
        <w:t xml:space="preserve">шением об установлении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строительства, и такой объект капитального строительства не введен в эксплуатацию.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</w:t>
      </w:r>
      <w:r>
        <w:rPr>
          <w:rFonts w:ascii="PT Astra Serif" w:hAnsi="PT Astra Serif"/>
          <w:sz w:val="24"/>
          <w:szCs w:val="24"/>
        </w:rPr>
        <w:t xml:space="preserve">6</w:t>
      </w:r>
      <w:r>
        <w:rPr>
          <w:rFonts w:ascii="PT Astra Serif" w:hAnsi="PT Astra Serif"/>
          <w:sz w:val="24"/>
          <w:szCs w:val="24"/>
        </w:rPr>
        <w:t xml:space="preserve">. Основания для приостановления предоставления государственной услуги отсутствуют.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</w:t>
      </w:r>
      <w:r>
        <w:rPr>
          <w:rFonts w:ascii="PT Astra Serif" w:hAnsi="PT Astra Serif"/>
          <w:sz w:val="24"/>
          <w:szCs w:val="24"/>
        </w:rPr>
        <w:t xml:space="preserve">7</w:t>
      </w:r>
      <w:r>
        <w:rPr>
          <w:rFonts w:ascii="PT Astra Serif" w:hAnsi="PT Astra Serif"/>
          <w:sz w:val="24"/>
          <w:szCs w:val="24"/>
        </w:rPr>
        <w:t xml:space="preserve">. Государственная услуга предоставляется бесплатно.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18</w:t>
      </w:r>
      <w:r>
        <w:rPr>
          <w:rFonts w:ascii="PT Astra Serif" w:hAnsi="PT Astra Serif"/>
          <w:sz w:val="24"/>
          <w:szCs w:val="24"/>
        </w:rPr>
        <w:t xml:space="preserve">. Максимальный срок ожидания в очереди при подаче заявлени</w:t>
      </w:r>
      <w:r>
        <w:rPr>
          <w:rFonts w:ascii="PT Astra Serif" w:hAnsi="PT Astra Serif"/>
          <w:sz w:val="24"/>
          <w:szCs w:val="24"/>
        </w:rPr>
        <w:t xml:space="preserve">я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многофункциональный центр составляет 30 минут.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19</w:t>
      </w:r>
      <w:r>
        <w:rPr>
          <w:rFonts w:ascii="PT Astra Serif" w:hAnsi="PT Astra Serif"/>
          <w:sz w:val="24"/>
          <w:szCs w:val="24"/>
        </w:rPr>
        <w:t xml:space="preserve">. Регистрация заявления о предоставлении государственной услуги осуществляется Департаментом в день поступления заявления в Департамент.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случ</w:t>
      </w:r>
      <w:r>
        <w:rPr>
          <w:rFonts w:ascii="PT Astra Serif" w:hAnsi="PT Astra Serif"/>
          <w:sz w:val="24"/>
          <w:szCs w:val="24"/>
        </w:rPr>
        <w:t xml:space="preserve">ае поступления заявления о предоставлении государственной услуги вне времени приема документов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</w:t>
      </w:r>
      <w:r>
        <w:rPr>
          <w:rFonts w:ascii="PT Astra Serif" w:hAnsi="PT Astra Serif"/>
          <w:sz w:val="24"/>
          <w:szCs w:val="24"/>
        </w:rPr>
        <w:t xml:space="preserve">0</w:t>
      </w:r>
      <w:r>
        <w:rPr>
          <w:rFonts w:ascii="PT Astra Serif" w:hAnsi="PT Astra Serif"/>
          <w:sz w:val="24"/>
          <w:szCs w:val="24"/>
        </w:rPr>
        <w:t xml:space="preserve">. К помещениям, в которых предоставляе</w:t>
      </w:r>
      <w:r>
        <w:rPr>
          <w:rFonts w:ascii="PT Astra Serif" w:hAnsi="PT Astra Serif"/>
          <w:sz w:val="24"/>
          <w:szCs w:val="24"/>
        </w:rPr>
        <w:t xml:space="preserve">тся государственная услуга, залу ожидания, местам для заполнения заявления, информационным стендам с образцами заполнения заявления и перечнем документов (сведений), необходимых для предоставления государственной услуги, предъявляются следующие требования: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здание Департамента должно быть оборудовано отдельным входом для свободного доступа в помещение;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6) места</w:t>
      </w:r>
      <w:r>
        <w:rPr>
          <w:rFonts w:ascii="PT Astra Serif" w:hAnsi="PT Astra Serif"/>
          <w:sz w:val="24"/>
          <w:szCs w:val="24"/>
        </w:rPr>
        <w:t xml:space="preserve">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заявления и канцелярскими принадлежностями;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tooltip="5. Информация о государственной услуге предоставляется:" w:anchor="P53" w:history="1">
        <w:r>
          <w:rPr>
            <w:rFonts w:ascii="PT Astra Serif" w:hAnsi="PT Astra Serif"/>
            <w:sz w:val="24"/>
            <w:szCs w:val="24"/>
          </w:rPr>
          <w:t xml:space="preserve">пункте 6 </w:t>
        </w:r>
      </w:hyperlink>
      <w:r>
        <w:rPr>
          <w:rFonts w:ascii="PT Astra Serif" w:hAnsi="PT Astra Serif"/>
          <w:sz w:val="24"/>
          <w:szCs w:val="24"/>
        </w:rPr>
        <w:t xml:space="preserve">настоящего административного регламента.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Доступность мест ожидания, мест для заполнения заявления, инфо</w:t>
      </w:r>
      <w:r>
        <w:rPr>
          <w:rFonts w:ascii="PT Astra Serif" w:hAnsi="PT Astra Serif"/>
          <w:sz w:val="24"/>
          <w:szCs w:val="24"/>
        </w:rPr>
        <w:t xml:space="preserve">рмационных стендов с образцами заполнения заявления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</w:t>
      </w:r>
      <w:r>
        <w:rPr>
          <w:rFonts w:ascii="PT Astra Serif" w:hAnsi="PT Astra Serif"/>
          <w:sz w:val="24"/>
          <w:szCs w:val="24"/>
        </w:rPr>
        <w:t xml:space="preserve">1</w:t>
      </w:r>
      <w:r>
        <w:rPr>
          <w:rFonts w:ascii="PT Astra Serif" w:hAnsi="PT Astra Serif"/>
          <w:sz w:val="24"/>
          <w:szCs w:val="24"/>
        </w:rPr>
        <w:t xml:space="preserve">. Показателями доступности и качества государственной услуги являются: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1) открытость информации о ходе предоставления государственной услуги;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наличие необходимого и достаточного ко</w:t>
      </w:r>
      <w:r>
        <w:rPr>
          <w:rFonts w:ascii="PT Astra Serif" w:hAnsi="PT Astra Serif"/>
          <w:sz w:val="24"/>
          <w:szCs w:val="24"/>
        </w:rPr>
        <w:t xml:space="preserve">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возможность выбора заявителем формы обращения за предоставлением государственной услуги;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5) обоснованность отказов в предоставлении государственной услуги;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6) возможность досудебного (внесудебного) рассмотрения жалоб;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7) отсутствие удовлетворенных жалоб со стороны заявителя по результатам предоставления государственной услуги.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11"/>
        <w:ind w:firstLine="709"/>
        <w:jc w:val="center"/>
        <w:spacing w:before="0" w:beforeAutospacing="0" w:after="0" w:afterAutospacing="0"/>
        <w:widowControl w:val="off"/>
        <w:rPr>
          <w:rFonts w:ascii="PT Astra Serif" w:hAnsi="PT Astra Serif"/>
        </w:rPr>
      </w:pPr>
      <w:r>
        <w:rPr>
          <w:rFonts w:ascii="PT Astra Serif" w:hAnsi="PT Astra Serif"/>
          <w:b/>
          <w:bCs/>
        </w:rPr>
        <w:t xml:space="preserve">3. Способы информирования заявителя об изменении статуса рассмотрения заявления о предоставлении государственной услуги</w:t>
      </w:r>
      <w:r>
        <w:rPr>
          <w:rFonts w:ascii="PT Astra Serif" w:hAnsi="PT Astra Serif"/>
        </w:rPr>
      </w:r>
    </w:p>
    <w:p>
      <w:pPr>
        <w:pStyle w:val="1012"/>
        <w:ind w:firstLine="709"/>
        <w:spacing w:before="0" w:beforeAutospacing="0" w:after="0" w:afterAutospacing="0"/>
        <w:widowControl w:val="off"/>
        <w:rPr>
          <w:rFonts w:ascii="PT Astra Serif" w:hAnsi="PT Astra Serif"/>
        </w:rPr>
      </w:pPr>
      <w:r>
        <w:rPr>
          <w:rFonts w:ascii="PT Astra Serif" w:hAnsi="PT Astra Serif"/>
        </w:rPr>
        <w:t xml:space="preserve"> </w:t>
      </w:r>
      <w:r>
        <w:rPr>
          <w:rFonts w:ascii="PT Astra Serif" w:hAnsi="PT Astra Serif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</w:rPr>
      </w:pPr>
      <w:r>
        <w:rPr>
          <w:rFonts w:ascii="PT Astra Serif" w:hAnsi="PT Astra Serif"/>
        </w:rPr>
        <w:t xml:space="preserve">2</w:t>
      </w:r>
      <w:r>
        <w:rPr>
          <w:rFonts w:ascii="PT Astra Serif" w:hAnsi="PT Astra Serif"/>
        </w:rPr>
        <w:t xml:space="preserve">2</w:t>
      </w:r>
      <w:r>
        <w:rPr>
          <w:rFonts w:ascii="PT Astra Serif" w:hAnsi="PT Astra Serif"/>
        </w:rPr>
        <w:t xml:space="preserve">. Информация о ходе рассмотрения заявления о предоставлении государственной услуги, об изменении статуса рассмотрения заявления о предоста</w:t>
      </w:r>
      <w:r>
        <w:rPr>
          <w:rFonts w:ascii="PT Astra Serif" w:hAnsi="PT Astra Serif"/>
        </w:rPr>
        <w:t xml:space="preserve">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  <w:r>
        <w:rPr>
          <w:rFonts w:ascii="PT Astra Serif" w:hAnsi="PT Astra Serif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</w:rPr>
      </w:pPr>
      <w:r>
        <w:rPr>
          <w:rFonts w:ascii="PT Astra Serif" w:hAnsi="PT Astra Serif"/>
        </w:rPr>
        <w:t xml:space="preserve"> </w:t>
      </w:r>
      <w:r>
        <w:rPr>
          <w:rFonts w:ascii="PT Astra Serif" w:hAnsi="PT Astra Serif"/>
        </w:rPr>
      </w:r>
    </w:p>
    <w:p>
      <w:pPr>
        <w:pStyle w:val="1012"/>
        <w:ind w:firstLine="709"/>
        <w:jc w:val="center"/>
        <w:spacing w:before="0" w:beforeAutospacing="0" w:after="0" w:afterAutospacing="0"/>
        <w:widowControl w:val="off"/>
        <w:rPr>
          <w:rFonts w:ascii="PT Astra Serif" w:hAnsi="PT Astra Serif"/>
        </w:rPr>
      </w:pPr>
      <w:r>
        <w:rPr>
          <w:rFonts w:ascii="PT Astra Serif" w:hAnsi="PT Astra Serif"/>
          <w:b/>
          <w:bCs/>
        </w:rPr>
        <w:t xml:space="preserve">4. Иные требования к предоставлению государственной услуги</w:t>
      </w:r>
      <w:r>
        <w:rPr>
          <w:rFonts w:ascii="PT Astra Serif" w:hAnsi="PT Astra Serif"/>
        </w:rPr>
      </w:r>
    </w:p>
    <w:p>
      <w:pPr>
        <w:pStyle w:val="1012"/>
        <w:ind w:firstLine="709"/>
        <w:spacing w:before="0" w:beforeAutospacing="0" w:after="0" w:afterAutospacing="0"/>
        <w:widowControl w:val="off"/>
        <w:rPr>
          <w:rFonts w:ascii="PT Astra Serif" w:hAnsi="PT Astra Serif"/>
        </w:rPr>
      </w:pPr>
      <w:r>
        <w:rPr>
          <w:rFonts w:ascii="PT Astra Serif" w:hAnsi="PT Astra Serif"/>
        </w:rPr>
        <w:t xml:space="preserve"> </w:t>
      </w:r>
      <w:r>
        <w:rPr>
          <w:rFonts w:ascii="PT Astra Serif" w:hAnsi="PT Astra Serif"/>
        </w:rPr>
      </w:r>
    </w:p>
    <w:p>
      <w:pPr>
        <w:pStyle w:val="1012"/>
        <w:ind w:firstLine="709"/>
        <w:jc w:val="both"/>
        <w:spacing w:before="0" w:beforeAutospacing="0" w:after="0" w:afterAutospacing="0"/>
        <w:rPr>
          <w:rFonts w:ascii="PT Astra Serif" w:hAnsi="PT Astra Serif"/>
        </w:rPr>
      </w:pPr>
      <w:r>
        <w:rPr>
          <w:rFonts w:ascii="PT Astra Serif" w:hAnsi="PT Astra Serif"/>
        </w:rPr>
        <w:t xml:space="preserve">2</w:t>
      </w:r>
      <w:r>
        <w:rPr>
          <w:rFonts w:ascii="PT Astra Serif" w:hAnsi="PT Astra Serif"/>
        </w:rPr>
        <w:t xml:space="preserve">3</w:t>
      </w:r>
      <w:r>
        <w:rPr>
          <w:rFonts w:ascii="PT Astra Serif" w:hAnsi="PT Astra Serif"/>
        </w:rPr>
        <w:t xml:space="preserve">.</w:t>
      </w:r>
      <w:r>
        <w:rPr>
          <w:rFonts w:ascii="PT Astra Serif" w:hAnsi="PT Astra Serif"/>
          <w:b/>
          <w:bCs/>
        </w:rPr>
        <w:t xml:space="preserve"> </w:t>
      </w:r>
      <w:r>
        <w:rPr>
          <w:rFonts w:ascii="PT Astra Serif" w:hAnsi="PT Astra Serif"/>
        </w:rPr>
        <w:t xml:space="preserve">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</w:t>
      </w:r>
      <w:r>
        <w:rPr>
          <w:rFonts w:ascii="PT Astra Serif" w:hAnsi="PT Astra Serif"/>
        </w:rPr>
        <w:t xml:space="preserve">системе, обеспечивающей функционирование национальной системы пространственных данных, а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</w:t>
      </w:r>
      <w:r>
        <w:rPr>
          <w:rFonts w:ascii="PT Astra Serif" w:hAnsi="PT Astra Serif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</w:rPr>
      </w:pPr>
      <w:r>
        <w:rPr>
          <w:rFonts w:ascii="PT Astra Serif" w:hAnsi="PT Astra Serif"/>
        </w:rPr>
        <w:t xml:space="preserve">2</w:t>
      </w:r>
      <w:r>
        <w:rPr>
          <w:rFonts w:ascii="PT Astra Serif" w:hAnsi="PT Astra Serif"/>
        </w:rPr>
        <w:t xml:space="preserve">4</w:t>
      </w:r>
      <w:r>
        <w:rPr>
          <w:rFonts w:ascii="PT Astra Serif" w:hAnsi="PT Astra Serif"/>
        </w:rPr>
        <w:t xml:space="preserve">. Иные услуги, которые являются обязательными для предоставления государственной услуги, отсутствуют.</w:t>
      </w:r>
      <w:r>
        <w:rPr>
          <w:rFonts w:ascii="PT Astra Serif" w:hAnsi="PT Astra Serif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12"/>
        <w:ind w:firstLine="709"/>
        <w:jc w:val="both"/>
        <w:spacing w:before="0" w:beforeAutospacing="0" w:after="0" w:afterAutospacing="0"/>
        <w:widowControl w:val="off"/>
        <w:tabs>
          <w:tab w:val="left" w:pos="8253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1000"/>
        <w:jc w:val="right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  <w:t xml:space="preserve">Приложение 1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административному регламенту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right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 xml:space="preserve">предоставления государственной услуги «</w:t>
      </w:r>
      <w:r>
        <w:rPr>
          <w:rFonts w:ascii="PT Astra Serif" w:hAnsi="PT Astra Serif"/>
          <w:sz w:val="24"/>
        </w:rPr>
        <w:t xml:space="preserve">Направление</w:t>
      </w:r>
      <w:r>
        <w:rPr>
          <w:rFonts w:ascii="PT Astra Serif" w:hAnsi="PT Astra Serif"/>
        </w:rPr>
      </w:r>
    </w:p>
    <w:p>
      <w:pPr>
        <w:pStyle w:val="1000"/>
        <w:jc w:val="right"/>
        <w:rPr>
          <w:rFonts w:ascii="PT Astra Serif" w:hAnsi="PT Astra Serif"/>
        </w:rPr>
      </w:pPr>
      <w:r>
        <w:rPr>
          <w:rFonts w:ascii="PT Astra Serif" w:hAnsi="PT Astra Serif"/>
          <w:sz w:val="24"/>
        </w:rPr>
        <w:t xml:space="preserve">уведомления о соответствии построенных или</w:t>
      </w:r>
      <w:r>
        <w:rPr>
          <w:rFonts w:ascii="PT Astra Serif" w:hAnsi="PT Astra Serif"/>
        </w:rPr>
      </w:r>
    </w:p>
    <w:p>
      <w:pPr>
        <w:pStyle w:val="1000"/>
        <w:jc w:val="right"/>
        <w:rPr>
          <w:rFonts w:ascii="PT Astra Serif" w:hAnsi="PT Astra Serif"/>
        </w:rPr>
      </w:pPr>
      <w:r>
        <w:rPr>
          <w:rFonts w:ascii="PT Astra Serif" w:hAnsi="PT Astra Serif"/>
          <w:sz w:val="24"/>
        </w:rPr>
        <w:t xml:space="preserve">реконструированных объектов индивидуального жилищного</w:t>
      </w:r>
      <w:r>
        <w:rPr>
          <w:rFonts w:ascii="PT Astra Serif" w:hAnsi="PT Astra Serif"/>
        </w:rPr>
      </w:r>
    </w:p>
    <w:p>
      <w:pPr>
        <w:pStyle w:val="1000"/>
        <w:jc w:val="right"/>
        <w:rPr>
          <w:rFonts w:ascii="PT Astra Serif" w:hAnsi="PT Astra Serif"/>
        </w:rPr>
      </w:pPr>
      <w:r>
        <w:rPr>
          <w:rFonts w:ascii="PT Astra Serif" w:hAnsi="PT Astra Serif"/>
          <w:sz w:val="24"/>
        </w:rPr>
        <w:t xml:space="preserve">строительства или садового дома требованиям законодательства</w:t>
      </w:r>
      <w:r>
        <w:rPr>
          <w:rFonts w:ascii="PT Astra Serif" w:hAnsi="PT Astra Serif"/>
        </w:rPr>
      </w:r>
    </w:p>
    <w:p>
      <w:pPr>
        <w:pStyle w:val="100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</w:rPr>
        <w:t xml:space="preserve">о градостроительной деятельности</w:t>
      </w:r>
      <w:r>
        <w:rPr>
          <w:rFonts w:ascii="PT Astra Serif" w:hAnsi="PT Astra Serif"/>
          <w:sz w:val="24"/>
          <w:szCs w:val="24"/>
        </w:rPr>
        <w:t xml:space="preserve">»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04"/>
        <w:jc w:val="center"/>
        <w:rPr>
          <w:rFonts w:ascii="PT Astra Serif" w:hAnsi="PT Astra Serif"/>
          <w:sz w:val="24"/>
          <w:szCs w:val="24"/>
        </w:rPr>
        <w:outlineLvl w:val="2"/>
      </w:pPr>
      <w:r>
        <w:rPr>
          <w:rFonts w:ascii="PT Astra Serif" w:hAnsi="PT Astra Serif"/>
          <w:sz w:val="24"/>
          <w:szCs w:val="24"/>
        </w:rPr>
        <w:t xml:space="preserve">Департамент градостроительного развития Томской области</w:t>
      </w:r>
      <w:r>
        <w:rPr>
          <w:rFonts w:ascii="PT Astra Serif" w:hAnsi="PT Astra Serif"/>
          <w:sz w:val="24"/>
          <w:szCs w:val="24"/>
        </w:rPr>
      </w:r>
    </w:p>
    <w:p>
      <w:pPr>
        <w:pStyle w:val="1004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График работы и контактная информация, справочные телефоны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Почтовый адрес: 634050, г. Томск, пл. Ленина, 6.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Фактический адрес (прием входящей корреспонденции): г. Томск, ул. Алтайская, 48.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График работы: понедельник - четверг с 08.45 до 18.00, пятница с 08.45 до 16.45, обед с 13.00 до 14.00.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</w:t>
      </w:r>
      <w:r>
        <w:rPr>
          <w:rFonts w:ascii="PT Astra Serif" w:hAnsi="PT Astra Serif"/>
          <w:sz w:val="24"/>
          <w:szCs w:val="24"/>
        </w:rPr>
        <w:t xml:space="preserve">График приема входящей корреспонденции: понедельник - пятница с 09.00 до 13.00, с 14.00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до 16.00.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Телефоны: +7 (3822) 70-90-13, +7 (3822) 70-90-15.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Официальный адрес электронной почты: dep-gr@dgr.tomsk.gov.ru.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</w:t>
      </w:r>
      <w:r>
        <w:rPr>
          <w:rFonts w:ascii="PT Astra Serif" w:hAnsi="PT Astra Serif"/>
          <w:sz w:val="24"/>
          <w:szCs w:val="24"/>
        </w:rPr>
        <w:t xml:space="preserve">«</w:t>
      </w:r>
      <w:r>
        <w:rPr>
          <w:rFonts w:ascii="PT Astra Serif" w:hAnsi="PT Astra Serif"/>
          <w:sz w:val="24"/>
          <w:szCs w:val="24"/>
        </w:rPr>
        <w:t xml:space="preserve">Интернет</w:t>
      </w:r>
      <w:r>
        <w:rPr>
          <w:rFonts w:ascii="PT Astra Serif" w:hAnsi="PT Astra Serif"/>
          <w:sz w:val="24"/>
          <w:szCs w:val="24"/>
        </w:rPr>
        <w:t xml:space="preserve">»</w:t>
      </w:r>
      <w:r>
        <w:rPr>
          <w:rFonts w:ascii="PT Astra Serif" w:hAnsi="PT Astra Serif"/>
          <w:sz w:val="24"/>
          <w:szCs w:val="24"/>
        </w:rPr>
        <w:t xml:space="preserve">: </w:t>
      </w:r>
      <w:hyperlink r:id="rId22" w:tooltip="https://dgr.tomsk.gov.ru" w:history="1">
        <w:r>
          <w:rPr>
            <w:rFonts w:ascii="PT Astra Serif" w:hAnsi="PT Astra Serif"/>
            <w:sz w:val="24"/>
            <w:szCs w:val="24"/>
          </w:rPr>
          <w:t xml:space="preserve">dgr.tomsk.gov.ru</w:t>
        </w:r>
      </w:hyperlink>
      <w:r>
        <w:rPr>
          <w:rFonts w:ascii="PT Astra Serif" w:hAnsi="PT Astra Serif"/>
          <w:sz w:val="24"/>
          <w:szCs w:val="24"/>
        </w:rPr>
        <w:t xml:space="preserve">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Контактные телефоны: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803"/>
        <w:gridCol w:w="2268"/>
      </w:tblGrid>
      <w:tr>
        <w:tblPrEx/>
        <w:trPr/>
        <w:tc>
          <w:tcPr>
            <w:tcW w:w="6803" w:type="dxa"/>
            <w:textDirection w:val="lrTb"/>
            <w:noWrap w:val="false"/>
          </w:tcPr>
          <w:p>
            <w:pPr>
              <w:pStyle w:val="100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Председатель комитета проектно-разрешительной деятельности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100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+7(3822) 51-05-93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6803" w:type="dxa"/>
            <w:textDirection w:val="lrTb"/>
            <w:noWrap w:val="false"/>
          </w:tcPr>
          <w:p>
            <w:pPr>
              <w:pStyle w:val="100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Специалисты комитета проектно-разрешительной деятельности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100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+7(3822) 51-05-38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+7 (3822) 51-05-42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+7(3822) 51-04-95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6803" w:type="dxa"/>
            <w:textDirection w:val="lrTb"/>
            <w:noWrap w:val="false"/>
          </w:tcPr>
          <w:p>
            <w:pPr>
              <w:pStyle w:val="100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Председатель комитета по делопроизводству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100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+7 (3822) 70-90-38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6803" w:type="dxa"/>
            <w:textDirection w:val="lrTb"/>
            <w:noWrap w:val="false"/>
          </w:tcPr>
          <w:p>
            <w:pPr>
              <w:pStyle w:val="100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Специалисты комитета по делопроизводству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100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+7 (3822) 70-90-13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+7 (3822) 70-90-15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</w:tbl>
    <w:p>
      <w:pPr>
        <w:pStyle w:val="100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04"/>
        <w:jc w:val="center"/>
        <w:rPr>
          <w:rFonts w:ascii="PT Astra Serif" w:hAnsi="PT Astra Serif"/>
          <w:sz w:val="24"/>
          <w:szCs w:val="24"/>
        </w:rPr>
        <w:outlineLvl w:val="2"/>
      </w:pPr>
      <w:r>
        <w:rPr>
          <w:rFonts w:ascii="PT Astra Serif" w:hAnsi="PT Astra Serif"/>
          <w:sz w:val="24"/>
          <w:szCs w:val="24"/>
        </w:rPr>
        <w:t xml:space="preserve">Областное государственное казенное учреждение </w:t>
      </w:r>
      <w:r>
        <w:rPr>
          <w:rFonts w:ascii="PT Astra Serif" w:hAnsi="PT Astra Serif"/>
          <w:sz w:val="24"/>
          <w:szCs w:val="24"/>
        </w:rPr>
        <w:t xml:space="preserve">«</w:t>
      </w:r>
      <w:r>
        <w:rPr>
          <w:rFonts w:ascii="PT Astra Serif" w:hAnsi="PT Astra Serif"/>
          <w:sz w:val="24"/>
          <w:szCs w:val="24"/>
        </w:rPr>
        <w:t xml:space="preserve">Томский</w:t>
      </w:r>
      <w:r>
        <w:rPr>
          <w:rFonts w:ascii="PT Astra Serif" w:hAnsi="PT Astra Serif"/>
          <w:sz w:val="24"/>
          <w:szCs w:val="24"/>
        </w:rPr>
      </w:r>
    </w:p>
    <w:p>
      <w:pPr>
        <w:pStyle w:val="1004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областной многофункциональный центр по предоставлению</w:t>
      </w:r>
      <w:r>
        <w:rPr>
          <w:rFonts w:ascii="PT Astra Serif" w:hAnsi="PT Astra Serif"/>
          <w:sz w:val="24"/>
          <w:szCs w:val="24"/>
        </w:rPr>
      </w:r>
    </w:p>
    <w:p>
      <w:pPr>
        <w:pStyle w:val="1004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государственных и муниципальных услуг</w:t>
      </w:r>
      <w:r>
        <w:rPr>
          <w:rFonts w:ascii="PT Astra Serif" w:hAnsi="PT Astra Serif"/>
          <w:sz w:val="24"/>
          <w:szCs w:val="24"/>
        </w:rPr>
        <w:t xml:space="preserve">»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Адрес официального сайта: </w:t>
      </w:r>
      <w:hyperlink r:id="rId23" w:tooltip="https://md.tomsk.ru" w:history="1">
        <w:r>
          <w:rPr>
            <w:rFonts w:ascii="PT Astra Serif" w:hAnsi="PT Astra Serif"/>
            <w:sz w:val="24"/>
            <w:szCs w:val="24"/>
          </w:rPr>
          <w:t xml:space="preserve">md.tomsk.ru</w:t>
        </w:r>
      </w:hyperlink>
      <w:r>
        <w:rPr>
          <w:rFonts w:ascii="PT Astra Serif" w:hAnsi="PT Astra Serif"/>
          <w:sz w:val="24"/>
          <w:szCs w:val="24"/>
        </w:rPr>
        <w:t xml:space="preserve">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Центр телефонного обслуживания: тел. 60-29-99, 8-800-350-08-50.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Единый портал государственных и муниципальных услуг (функций) - </w:t>
      </w:r>
      <w:hyperlink r:id="rId24" w:tooltip="file:///\\192.168.219.14\ok\Мандракова\АДМИНИСТРАТИВНЫЕ%20РЕГЛАМЕНТЫ%20и%20ИЗМЕНЕНИЯ%20в%20АР\по%20НСПД%2046,35,48,44\www.gosuslugi.ru" w:history="1">
        <w:r>
          <w:rPr>
            <w:rFonts w:ascii="PT Astra Serif" w:hAnsi="PT Astra Serif"/>
            <w:sz w:val="24"/>
            <w:szCs w:val="24"/>
          </w:rPr>
          <w:t xml:space="preserve">www.gosuslugi.ru</w:t>
        </w:r>
      </w:hyperlink>
      <w:r>
        <w:rPr>
          <w:rFonts w:ascii="PT Astra Serif" w:hAnsi="PT Astra Serif"/>
          <w:sz w:val="24"/>
          <w:szCs w:val="24"/>
        </w:rPr>
        <w:t xml:space="preserve">.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both"/>
      </w:pPr>
      <w:r/>
      <w:r/>
    </w:p>
    <w:p>
      <w:pPr>
        <w:pStyle w:val="1000"/>
        <w:jc w:val="both"/>
      </w:pPr>
      <w:r/>
      <w:r/>
    </w:p>
    <w:p>
      <w:pPr>
        <w:pStyle w:val="1000"/>
        <w:jc w:val="both"/>
      </w:pPr>
      <w:r/>
      <w:r/>
    </w:p>
    <w:p>
      <w:pPr>
        <w:pStyle w:val="1000"/>
        <w:jc w:val="both"/>
      </w:pPr>
      <w:r/>
      <w:r/>
    </w:p>
    <w:p>
      <w:pPr>
        <w:pStyle w:val="1000"/>
        <w:jc w:val="both"/>
      </w:pPr>
      <w:r/>
      <w:r/>
    </w:p>
    <w:p>
      <w:pPr>
        <w:pStyle w:val="1000"/>
        <w:jc w:val="both"/>
      </w:pPr>
      <w:r/>
      <w:r/>
    </w:p>
    <w:p>
      <w:pPr>
        <w:pStyle w:val="1000"/>
        <w:jc w:val="both"/>
      </w:pPr>
      <w:r/>
      <w:r/>
    </w:p>
    <w:p>
      <w:pPr>
        <w:pStyle w:val="1000"/>
        <w:jc w:val="both"/>
      </w:pPr>
      <w:r/>
      <w:r/>
    </w:p>
    <w:p>
      <w:pPr>
        <w:pStyle w:val="1000"/>
        <w:jc w:val="both"/>
      </w:pPr>
      <w:r/>
      <w:r/>
    </w:p>
    <w:p>
      <w:pPr>
        <w:pStyle w:val="1000"/>
        <w:jc w:val="both"/>
      </w:pPr>
      <w:r/>
      <w:r/>
    </w:p>
    <w:p>
      <w:pPr>
        <w:pStyle w:val="1000"/>
        <w:jc w:val="right"/>
        <w:rPr>
          <w:rFonts w:ascii="PT Astra Serif" w:hAnsi="PT Astra Serif"/>
          <w:sz w:val="24"/>
          <w:szCs w:val="24"/>
        </w:rPr>
        <w:outlineLvl w:val="1"/>
      </w:pPr>
      <w:r>
        <w:rPr>
          <w:rFonts w:ascii="PT Astra Serif" w:hAnsi="PT Astra Serif"/>
          <w:sz w:val="24"/>
          <w:szCs w:val="24"/>
        </w:rPr>
        <w:t xml:space="preserve">Приложение </w:t>
      </w:r>
      <w:r>
        <w:rPr>
          <w:rFonts w:ascii="PT Astra Serif" w:hAnsi="PT Astra Serif"/>
          <w:sz w:val="24"/>
          <w:szCs w:val="24"/>
        </w:rPr>
        <w:t xml:space="preserve">2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административному регламенту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right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 xml:space="preserve">предоставления государственной услуги «</w:t>
      </w:r>
      <w:r>
        <w:rPr>
          <w:rFonts w:ascii="PT Astra Serif" w:hAnsi="PT Astra Serif"/>
          <w:sz w:val="24"/>
        </w:rPr>
        <w:t xml:space="preserve">Направление</w:t>
      </w:r>
      <w:r>
        <w:rPr>
          <w:rFonts w:ascii="PT Astra Serif" w:hAnsi="PT Astra Serif"/>
        </w:rPr>
      </w:r>
    </w:p>
    <w:p>
      <w:pPr>
        <w:pStyle w:val="1000"/>
        <w:jc w:val="right"/>
        <w:rPr>
          <w:rFonts w:ascii="PT Astra Serif" w:hAnsi="PT Astra Serif"/>
        </w:rPr>
      </w:pPr>
      <w:r>
        <w:rPr>
          <w:rFonts w:ascii="PT Astra Serif" w:hAnsi="PT Astra Serif"/>
          <w:sz w:val="24"/>
        </w:rPr>
        <w:t xml:space="preserve">уведомления о соответствии построенных или</w:t>
      </w:r>
      <w:r>
        <w:rPr>
          <w:rFonts w:ascii="PT Astra Serif" w:hAnsi="PT Astra Serif"/>
        </w:rPr>
      </w:r>
    </w:p>
    <w:p>
      <w:pPr>
        <w:pStyle w:val="1000"/>
        <w:jc w:val="right"/>
        <w:rPr>
          <w:rFonts w:ascii="PT Astra Serif" w:hAnsi="PT Astra Serif"/>
        </w:rPr>
      </w:pPr>
      <w:r>
        <w:rPr>
          <w:rFonts w:ascii="PT Astra Serif" w:hAnsi="PT Astra Serif"/>
          <w:sz w:val="24"/>
        </w:rPr>
        <w:t xml:space="preserve">реконструированных объектов индивидуального жилищного</w:t>
      </w:r>
      <w:r>
        <w:rPr>
          <w:rFonts w:ascii="PT Astra Serif" w:hAnsi="PT Astra Serif"/>
        </w:rPr>
      </w:r>
    </w:p>
    <w:p>
      <w:pPr>
        <w:pStyle w:val="1000"/>
        <w:jc w:val="right"/>
        <w:rPr>
          <w:rFonts w:ascii="PT Astra Serif" w:hAnsi="PT Astra Serif"/>
        </w:rPr>
      </w:pPr>
      <w:r>
        <w:rPr>
          <w:rFonts w:ascii="PT Astra Serif" w:hAnsi="PT Astra Serif"/>
          <w:sz w:val="24"/>
        </w:rPr>
        <w:t xml:space="preserve">строительства или садового дома требованиям законодательства</w:t>
      </w:r>
      <w:r>
        <w:rPr>
          <w:rFonts w:ascii="PT Astra Serif" w:hAnsi="PT Astra Serif"/>
        </w:rPr>
      </w:r>
    </w:p>
    <w:p>
      <w:pPr>
        <w:pStyle w:val="100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</w:rPr>
        <w:t xml:space="preserve">о градостроительной деятельности</w:t>
      </w:r>
      <w:r>
        <w:rPr>
          <w:rFonts w:ascii="PT Astra Serif" w:hAnsi="PT Astra Serif"/>
          <w:sz w:val="24"/>
          <w:szCs w:val="24"/>
        </w:rPr>
        <w:t xml:space="preserve">»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both"/>
      </w:pPr>
      <w:r/>
      <w:r/>
    </w:p>
    <w:p>
      <w:pPr>
        <w:pStyle w:val="1004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Документы, необходимые для предоставления государственной услуги</w:t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94"/>
        <w:gridCol w:w="1928"/>
        <w:gridCol w:w="2493"/>
        <w:gridCol w:w="1843"/>
        <w:gridCol w:w="1842"/>
        <w:gridCol w:w="1418"/>
      </w:tblGrid>
      <w:tr>
        <w:tblPrEx/>
        <w:trPr/>
        <w:tc>
          <w:tcPr>
            <w:tcW w:w="394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пп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28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 документа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49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Способ предоставления: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оригинал;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копия, заверенная по месту работы;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нотариально заверенная копия;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копия, заверенная собственноручно;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копия с предоставлением оригинала;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заполненная и подписанная заявителем форма;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рукописное обращение;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электронная форма;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иные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Вариант предоставления: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предоставляется без возврата;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предоставляется на все время оказания услуги с возможностью возврата по требованию заявителя;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предоставляется на все время оказания услуги с обязательным возвратом;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предоставляется только для просмотра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Обязательность: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обязателен;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не обязателен;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 документ обязателен, если...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Примечание: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(особенности </w:t>
            </w:r>
            <w:bookmarkStart w:id="3" w:name="_GoBack"/>
            <w:r/>
            <w:bookmarkEnd w:id="3"/>
            <w:r>
              <w:rPr>
                <w:rFonts w:ascii="PT Astra Serif" w:hAnsi="PT Astra Serif"/>
                <w:sz w:val="24"/>
                <w:szCs w:val="24"/>
              </w:rPr>
              <w:t xml:space="preserve">предоставления документа, количество экземпляров и т.д.)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4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28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заявление о предоставлении государственной услуги (уведомление об окончании строительства)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49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оригинал при подаче заявления посредством личного обращения или в случае подачи заявления посредством почтовой связи, электронная форма (при обращении через Портал)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предоставляется без возврата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обязателен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4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28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документ, удостоверяющий личность заявителя (представителя заявителя)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49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предоставление оригинала (при подаче заявления посредством личного обращения), электронная форма (при обращении через Портал)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оригинал предоставляется для просмотра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100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обязателен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100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документ, удостоверяющий личность представителя заявителя в случае обращения представителя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4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/>
            <w:bookmarkStart w:id="4" w:name="P259"/>
            <w:r/>
            <w:bookmarkEnd w:id="4"/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28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документ, подтверждающий полномочия представителя заявителя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49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копия с предоставлением оригинала (при личном обращении), электронная форма (при обращении через Портал)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оригинал предоставляется для просмотра, копия предоставляется без возврата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100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обязателен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100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обязателен в случае обращения представителя заявителя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4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28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правоустанавливающие документы на земельный участок, если право на земельный участок не зарегистрировано в Едином государственном реестре недвижимости (далее - ЕГРН)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49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копия с предоставлением оригинала (при подаче заявления посредством личного обращения), электронная форма (при обращении через Портал)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оригинал предоставляется только для просмотра, копия предоставляется без возврата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обязателен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предоставляется заявителем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4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/>
            <w:bookmarkStart w:id="5" w:name="P271"/>
            <w:r/>
            <w:bookmarkEnd w:id="5"/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28" w:type="dxa"/>
            <w:textDirection w:val="lrTb"/>
            <w:noWrap w:val="false"/>
          </w:tcPr>
          <w:p>
            <w:pPr>
              <w:pStyle w:val="100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49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оригинал (при подаче заявления посредством личного) или электронная форма (при обращении через Портал)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предоставляется без возврата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обязателен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предоставляется в случае, если застройщиком является иностранное юридическое лицо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4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/>
            <w:bookmarkStart w:id="6" w:name="P277"/>
            <w:r/>
            <w:bookmarkEnd w:id="6"/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28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технический план объекта индивидуального жилищного строительства или садового дома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49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оригинал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оригинал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обязателен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94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/>
            <w:bookmarkStart w:id="7" w:name="P283"/>
            <w:r/>
            <w:bookmarkEnd w:id="7"/>
            <w:r>
              <w:rPr>
                <w:rFonts w:ascii="PT Astra Serif" w:hAnsi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28" w:type="dxa"/>
            <w:textDirection w:val="lrTb"/>
            <w:noWrap w:val="false"/>
          </w:tcPr>
          <w:p>
            <w:pPr>
              <w:pStyle w:val="100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объекты индивидуального жилищного строительства или садовый дом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49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копия с предоставлением оригинала (при подаче заявления посредством личного), электронная форма (при обращении через Портал)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оригинал предоставляется только для просмотра, копия предоставляется без возврата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100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обязателен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100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предоставляется в случае, если земе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льный участок, на котором построен или реконструирован объект индивидуального жилищного строительства или садовый дом, принадлежит двум и более гражданам на праве общей долевой собственности или на праве аренды со множественностью лиц на стороне арендатора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</w:tbl>
    <w:p>
      <w:pPr>
        <w:pStyle w:val="100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0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7" w:h="16840" w:orient="portrait"/>
      <w:pgMar w:top="1134" w:right="567" w:bottom="1134" w:left="1134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8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357158270"/>
      <w:docPartObj>
        <w:docPartGallery w:val="Page Numbers (Top of Page)"/>
        <w:docPartUnique w:val="true"/>
      </w:docPartObj>
      <w:rPr/>
    </w:sdtPr>
    <w:sdtContent>
      <w:p>
        <w:pPr>
          <w:pStyle w:val="846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 xml:space="preserve">11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  <w:r>
          <w:rPr>
            <w:rFonts w:ascii="PT Astra Serif" w:hAnsi="PT Astra Serif"/>
            <w:b w:val="0"/>
            <w:sz w:val="24"/>
            <w:szCs w:val="24"/>
          </w:rPr>
        </w:r>
      </w:p>
    </w:sdtContent>
  </w:sdt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6"/>
    </w:pPr>
    <w:r/>
    <w:r/>
  </w:p>
  <w:p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/>
        <w:b/>
        <w:sz w:val="12"/>
        <w:szCs w:val="12"/>
      </w:rPr>
    </w:r>
  </w:p>
  <w:p>
    <w:pPr>
      <w:pStyle w:val="846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градостроительного развития 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46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46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ascii="PT Astra Serif" w:hAnsi="PT Astra Serif" w:cs="Courier New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ascii="PT Astra Serif" w:hAnsi="PT Astra Serif" w:eastAsia="Times New Roman" w:cs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99" w:hanging="390"/>
      </w:pPr>
      <w:rPr>
        <w:rFonts w:hint="default" w:cs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05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2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4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6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8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0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2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4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65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3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74">
    <w:name w:val="Heading 1"/>
    <w:link w:val="827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75">
    <w:name w:val="Heading 2"/>
    <w:link w:val="828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76">
    <w:name w:val="Heading 3"/>
    <w:link w:val="82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77">
    <w:name w:val="Heading 4"/>
    <w:link w:val="83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78">
    <w:name w:val="Heading 5"/>
    <w:link w:val="83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79">
    <w:name w:val="Heading 6"/>
    <w:link w:val="83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80">
    <w:name w:val="Heading 7"/>
    <w:link w:val="83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81">
    <w:name w:val="Heading 8"/>
    <w:link w:val="83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82">
    <w:name w:val="Heading 9"/>
    <w:link w:val="83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83" w:default="1">
    <w:name w:val="Default Paragraph Font"/>
    <w:uiPriority w:val="1"/>
    <w:semiHidden/>
    <w:unhideWhenUsed/>
  </w:style>
  <w:style w:type="table" w:styleId="7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5" w:default="1">
    <w:name w:val="No List"/>
    <w:uiPriority w:val="99"/>
    <w:semiHidden/>
    <w:unhideWhenUsed/>
  </w:style>
  <w:style w:type="table" w:styleId="786">
    <w:name w:val="Plain Table 1"/>
    <w:basedOn w:val="7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7">
    <w:name w:val="Plain Table 2"/>
    <w:basedOn w:val="78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8">
    <w:name w:val="Plain Table 3"/>
    <w:basedOn w:val="7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9">
    <w:name w:val="Plain Table 4"/>
    <w:basedOn w:val="7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Plain Table 5"/>
    <w:basedOn w:val="7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1">
    <w:name w:val="Grid Table 1 Light"/>
    <w:basedOn w:val="78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2"/>
    <w:basedOn w:val="7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"/>
    <w:basedOn w:val="7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4"/>
    <w:basedOn w:val="78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5">
    <w:name w:val="Grid Table 5 Dark"/>
    <w:basedOn w:val="7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6">
    <w:name w:val="Grid Table 6 Colorful"/>
    <w:basedOn w:val="78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>
    <w:name w:val="Grid Table 7 Colorful"/>
    <w:basedOn w:val="78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>
    <w:name w:val="List Table 1 Light"/>
    <w:basedOn w:val="78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2"/>
    <w:basedOn w:val="78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0">
    <w:name w:val="List Table 3"/>
    <w:basedOn w:val="7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7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78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>
    <w:name w:val="List Table 6 Colorful"/>
    <w:basedOn w:val="78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4">
    <w:name w:val="List Table 7 Colorful"/>
    <w:basedOn w:val="78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05" w:customStyle="1">
    <w:name w:val="Endnote Text Char"/>
    <w:uiPriority w:val="99"/>
    <w:rPr>
      <w:sz w:val="20"/>
    </w:rPr>
  </w:style>
  <w:style w:type="character" w:styleId="806" w:customStyle="1">
    <w:name w:val="Heading 1 Char"/>
    <w:basedOn w:val="783"/>
    <w:uiPriority w:val="9"/>
    <w:rPr>
      <w:rFonts w:ascii="Arial" w:hAnsi="Arial" w:eastAsia="Arial" w:cs="Arial"/>
      <w:sz w:val="40"/>
      <w:szCs w:val="40"/>
    </w:rPr>
  </w:style>
  <w:style w:type="character" w:styleId="807" w:customStyle="1">
    <w:name w:val="Heading 2 Char"/>
    <w:basedOn w:val="783"/>
    <w:uiPriority w:val="9"/>
    <w:rPr>
      <w:rFonts w:ascii="Arial" w:hAnsi="Arial" w:eastAsia="Arial" w:cs="Arial"/>
      <w:sz w:val="34"/>
    </w:rPr>
  </w:style>
  <w:style w:type="character" w:styleId="808" w:customStyle="1">
    <w:name w:val="Heading 3 Char"/>
    <w:basedOn w:val="783"/>
    <w:uiPriority w:val="9"/>
    <w:rPr>
      <w:rFonts w:ascii="Arial" w:hAnsi="Arial" w:eastAsia="Arial" w:cs="Arial"/>
      <w:sz w:val="30"/>
      <w:szCs w:val="30"/>
    </w:rPr>
  </w:style>
  <w:style w:type="character" w:styleId="809" w:customStyle="1">
    <w:name w:val="Heading 4 Char"/>
    <w:basedOn w:val="783"/>
    <w:uiPriority w:val="9"/>
    <w:rPr>
      <w:rFonts w:ascii="Arial" w:hAnsi="Arial" w:eastAsia="Arial" w:cs="Arial"/>
      <w:b/>
      <w:bCs/>
      <w:sz w:val="26"/>
      <w:szCs w:val="26"/>
    </w:rPr>
  </w:style>
  <w:style w:type="character" w:styleId="810" w:customStyle="1">
    <w:name w:val="Heading 5 Char"/>
    <w:basedOn w:val="783"/>
    <w:uiPriority w:val="9"/>
    <w:rPr>
      <w:rFonts w:ascii="Arial" w:hAnsi="Arial" w:eastAsia="Arial" w:cs="Arial"/>
      <w:b/>
      <w:bCs/>
      <w:sz w:val="24"/>
      <w:szCs w:val="24"/>
    </w:rPr>
  </w:style>
  <w:style w:type="character" w:styleId="811" w:customStyle="1">
    <w:name w:val="Heading 6 Char"/>
    <w:basedOn w:val="783"/>
    <w:uiPriority w:val="9"/>
    <w:rPr>
      <w:rFonts w:ascii="Arial" w:hAnsi="Arial" w:eastAsia="Arial" w:cs="Arial"/>
      <w:b/>
      <w:bCs/>
      <w:sz w:val="22"/>
      <w:szCs w:val="22"/>
    </w:rPr>
  </w:style>
  <w:style w:type="character" w:styleId="812" w:customStyle="1">
    <w:name w:val="Heading 7 Char"/>
    <w:basedOn w:val="7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13" w:customStyle="1">
    <w:name w:val="Heading 8 Char"/>
    <w:basedOn w:val="783"/>
    <w:uiPriority w:val="9"/>
    <w:rPr>
      <w:rFonts w:ascii="Arial" w:hAnsi="Arial" w:eastAsia="Arial" w:cs="Arial"/>
      <w:i/>
      <w:iCs/>
      <w:sz w:val="22"/>
      <w:szCs w:val="22"/>
    </w:rPr>
  </w:style>
  <w:style w:type="character" w:styleId="814" w:customStyle="1">
    <w:name w:val="Heading 9 Char"/>
    <w:basedOn w:val="783"/>
    <w:uiPriority w:val="9"/>
    <w:rPr>
      <w:rFonts w:ascii="Arial" w:hAnsi="Arial" w:eastAsia="Arial" w:cs="Arial"/>
      <w:i/>
      <w:iCs/>
      <w:sz w:val="21"/>
      <w:szCs w:val="21"/>
    </w:rPr>
  </w:style>
  <w:style w:type="character" w:styleId="815" w:customStyle="1">
    <w:name w:val="Title Char"/>
    <w:basedOn w:val="783"/>
    <w:uiPriority w:val="10"/>
    <w:rPr>
      <w:sz w:val="48"/>
      <w:szCs w:val="48"/>
    </w:rPr>
  </w:style>
  <w:style w:type="character" w:styleId="816" w:customStyle="1">
    <w:name w:val="Subtitle Char"/>
    <w:basedOn w:val="783"/>
    <w:uiPriority w:val="11"/>
    <w:rPr>
      <w:sz w:val="24"/>
      <w:szCs w:val="24"/>
    </w:rPr>
  </w:style>
  <w:style w:type="character" w:styleId="817" w:customStyle="1">
    <w:name w:val="Quote Char"/>
    <w:uiPriority w:val="29"/>
    <w:rPr>
      <w:i/>
    </w:rPr>
  </w:style>
  <w:style w:type="character" w:styleId="818" w:customStyle="1">
    <w:name w:val="Intense Quote Char"/>
    <w:uiPriority w:val="30"/>
    <w:rPr>
      <w:i/>
    </w:rPr>
  </w:style>
  <w:style w:type="character" w:styleId="819" w:customStyle="1">
    <w:name w:val="Header Char"/>
    <w:basedOn w:val="783"/>
    <w:uiPriority w:val="99"/>
  </w:style>
  <w:style w:type="character" w:styleId="820" w:customStyle="1">
    <w:name w:val="Footer Char"/>
    <w:basedOn w:val="783"/>
    <w:uiPriority w:val="99"/>
  </w:style>
  <w:style w:type="character" w:styleId="821" w:customStyle="1">
    <w:name w:val="Caption Char"/>
    <w:uiPriority w:val="99"/>
  </w:style>
  <w:style w:type="character" w:styleId="822" w:customStyle="1">
    <w:name w:val="Footnote Text Char"/>
    <w:uiPriority w:val="99"/>
    <w:rPr>
      <w:sz w:val="18"/>
    </w:rPr>
  </w:style>
  <w:style w:type="paragraph" w:styleId="823">
    <w:name w:val="endnote text"/>
    <w:basedOn w:val="773"/>
    <w:link w:val="824"/>
    <w:uiPriority w:val="99"/>
    <w:semiHidden/>
    <w:unhideWhenUsed/>
  </w:style>
  <w:style w:type="character" w:styleId="824" w:customStyle="1">
    <w:name w:val="Текст концевой сноски Знак"/>
    <w:link w:val="823"/>
    <w:uiPriority w:val="99"/>
    <w:rPr>
      <w:sz w:val="20"/>
    </w:rPr>
  </w:style>
  <w:style w:type="character" w:styleId="825">
    <w:name w:val="endnote reference"/>
    <w:basedOn w:val="783"/>
    <w:uiPriority w:val="99"/>
    <w:semiHidden/>
    <w:unhideWhenUsed/>
    <w:rPr>
      <w:vertAlign w:val="superscript"/>
    </w:rPr>
  </w:style>
  <w:style w:type="paragraph" w:styleId="826">
    <w:name w:val="table of figures"/>
    <w:basedOn w:val="773"/>
    <w:next w:val="773"/>
    <w:uiPriority w:val="99"/>
    <w:unhideWhenUsed/>
  </w:style>
  <w:style w:type="character" w:styleId="827" w:customStyle="1">
    <w:name w:val="Заголовок 1 Знак"/>
    <w:link w:val="774"/>
    <w:uiPriority w:val="9"/>
    <w:rPr>
      <w:rFonts w:ascii="Arial" w:hAnsi="Arial" w:eastAsia="Arial"/>
      <w:sz w:val="40"/>
      <w:szCs w:val="40"/>
      <w:lang w:bidi="ar-SA"/>
    </w:rPr>
  </w:style>
  <w:style w:type="character" w:styleId="828" w:customStyle="1">
    <w:name w:val="Заголовок 2 Знак"/>
    <w:link w:val="775"/>
    <w:uiPriority w:val="9"/>
    <w:rPr>
      <w:rFonts w:ascii="Arial" w:hAnsi="Arial" w:eastAsia="Arial"/>
      <w:sz w:val="34"/>
      <w:lang w:bidi="ar-SA"/>
    </w:rPr>
  </w:style>
  <w:style w:type="character" w:styleId="829" w:customStyle="1">
    <w:name w:val="Заголовок 3 Знак"/>
    <w:link w:val="776"/>
    <w:uiPriority w:val="9"/>
    <w:rPr>
      <w:rFonts w:ascii="Arial" w:hAnsi="Arial" w:eastAsia="Arial"/>
      <w:sz w:val="30"/>
      <w:szCs w:val="30"/>
      <w:lang w:bidi="ar-SA"/>
    </w:rPr>
  </w:style>
  <w:style w:type="character" w:styleId="830" w:customStyle="1">
    <w:name w:val="Заголовок 4 Знак"/>
    <w:link w:val="77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31" w:customStyle="1">
    <w:name w:val="Заголовок 5 Знак"/>
    <w:link w:val="77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32" w:customStyle="1">
    <w:name w:val="Заголовок 6 Знак"/>
    <w:link w:val="77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33" w:customStyle="1">
    <w:name w:val="Заголовок 7 Знак"/>
    <w:link w:val="78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34" w:customStyle="1">
    <w:name w:val="Заголовок 8 Знак"/>
    <w:link w:val="78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35" w:customStyle="1">
    <w:name w:val="Заголовок 9 Знак"/>
    <w:link w:val="78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36">
    <w:name w:val="List Paragraph"/>
    <w:uiPriority w:val="34"/>
    <w:qFormat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837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8">
    <w:name w:val="Title"/>
    <w:link w:val="839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39" w:customStyle="1">
    <w:name w:val="Заголовок Знак"/>
    <w:link w:val="838"/>
    <w:uiPriority w:val="10"/>
    <w:rPr>
      <w:sz w:val="48"/>
      <w:szCs w:val="48"/>
      <w:lang w:bidi="ar-SA"/>
    </w:rPr>
  </w:style>
  <w:style w:type="paragraph" w:styleId="840">
    <w:name w:val="Subtitle"/>
    <w:link w:val="841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41" w:customStyle="1">
    <w:name w:val="Подзаголовок Знак"/>
    <w:link w:val="840"/>
    <w:uiPriority w:val="11"/>
    <w:rPr>
      <w:sz w:val="24"/>
      <w:szCs w:val="24"/>
      <w:lang w:bidi="ar-SA"/>
    </w:rPr>
  </w:style>
  <w:style w:type="paragraph" w:styleId="842">
    <w:name w:val="Quote"/>
    <w:link w:val="843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43" w:customStyle="1">
    <w:name w:val="Цитата 2 Знак"/>
    <w:link w:val="842"/>
    <w:uiPriority w:val="29"/>
    <w:rPr>
      <w:i/>
      <w:lang w:val="ru-RU" w:eastAsia="ru-RU" w:bidi="ar-SA"/>
    </w:rPr>
  </w:style>
  <w:style w:type="paragraph" w:styleId="844">
    <w:name w:val="Intense Quote"/>
    <w:link w:val="8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45" w:customStyle="1">
    <w:name w:val="Выделенная цитата Знак"/>
    <w:link w:val="844"/>
    <w:uiPriority w:val="30"/>
    <w:rPr>
      <w:i/>
      <w:shd w:val="clear" w:color="auto" w:fill="f2f2f2"/>
      <w:lang w:val="ru-RU" w:eastAsia="ru-RU" w:bidi="ar-SA"/>
    </w:rPr>
  </w:style>
  <w:style w:type="paragraph" w:styleId="846">
    <w:name w:val="Header"/>
    <w:basedOn w:val="773"/>
    <w:link w:val="84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47" w:customStyle="1">
    <w:name w:val="Верхний колонтитул Знак"/>
    <w:link w:val="846"/>
    <w:uiPriority w:val="99"/>
  </w:style>
  <w:style w:type="paragraph" w:styleId="848">
    <w:name w:val="Footer"/>
    <w:basedOn w:val="773"/>
    <w:link w:val="849"/>
    <w:uiPriority w:val="99"/>
    <w:pPr>
      <w:tabs>
        <w:tab w:val="center" w:pos="4153" w:leader="none"/>
        <w:tab w:val="right" w:pos="8306" w:leader="none"/>
      </w:tabs>
    </w:pPr>
  </w:style>
  <w:style w:type="character" w:styleId="849" w:customStyle="1">
    <w:name w:val="Нижний колонтитул Знак"/>
    <w:link w:val="848"/>
    <w:uiPriority w:val="99"/>
  </w:style>
  <w:style w:type="table" w:styleId="850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1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2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3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4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76">
    <w:name w:val="Hyperlink"/>
    <w:uiPriority w:val="99"/>
    <w:unhideWhenUsed/>
    <w:rPr>
      <w:color w:val="0000ff"/>
      <w:u w:val="single"/>
    </w:rPr>
  </w:style>
  <w:style w:type="paragraph" w:styleId="977">
    <w:name w:val="footnote text"/>
    <w:link w:val="978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78" w:customStyle="1">
    <w:name w:val="Текст сноски Знак"/>
    <w:link w:val="977"/>
    <w:uiPriority w:val="99"/>
    <w:semiHidden/>
    <w:rPr>
      <w:sz w:val="18"/>
      <w:lang w:bidi="ar-SA"/>
    </w:rPr>
  </w:style>
  <w:style w:type="character" w:styleId="979">
    <w:name w:val="footnote reference"/>
    <w:uiPriority w:val="99"/>
    <w:unhideWhenUsed/>
    <w:rPr>
      <w:vertAlign w:val="superscript"/>
    </w:rPr>
  </w:style>
  <w:style w:type="paragraph" w:styleId="980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1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2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3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4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5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6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7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8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89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90">
    <w:name w:val="Body Text"/>
    <w:basedOn w:val="773"/>
    <w:next w:val="773"/>
    <w:pPr>
      <w:jc w:val="both"/>
    </w:pPr>
    <w:rPr>
      <w:sz w:val="22"/>
    </w:rPr>
  </w:style>
  <w:style w:type="character" w:styleId="991">
    <w:name w:val="page number"/>
    <w:basedOn w:val="783"/>
  </w:style>
  <w:style w:type="paragraph" w:styleId="992">
    <w:name w:val="Caption"/>
    <w:basedOn w:val="773"/>
    <w:next w:val="773"/>
    <w:pPr>
      <w:jc w:val="center"/>
    </w:pPr>
    <w:rPr>
      <w:b/>
      <w:sz w:val="28"/>
    </w:rPr>
  </w:style>
  <w:style w:type="paragraph" w:styleId="993">
    <w:name w:val="Body Text 2"/>
    <w:basedOn w:val="773"/>
    <w:pPr>
      <w:ind w:right="5102"/>
      <w:jc w:val="center"/>
      <w:spacing w:before="120"/>
    </w:pPr>
  </w:style>
  <w:style w:type="paragraph" w:styleId="994" w:customStyle="1">
    <w:name w:val="Обращение"/>
    <w:basedOn w:val="773"/>
    <w:next w:val="773"/>
    <w:pPr>
      <w:jc w:val="center"/>
      <w:spacing w:before="240" w:after="120"/>
    </w:pPr>
    <w:rPr>
      <w:b/>
    </w:rPr>
  </w:style>
  <w:style w:type="paragraph" w:styleId="995" w:customStyle="1">
    <w:name w:val="Адресные реквизиты"/>
    <w:basedOn w:val="990"/>
    <w:next w:val="990"/>
    <w:pPr>
      <w:jc w:val="left"/>
    </w:pPr>
    <w:rPr>
      <w:sz w:val="16"/>
    </w:rPr>
  </w:style>
  <w:style w:type="paragraph" w:styleId="996" w:customStyle="1">
    <w:name w:val="Адресат"/>
    <w:basedOn w:val="773"/>
    <w:pPr>
      <w:spacing w:before="120"/>
    </w:pPr>
    <w:rPr>
      <w:b/>
    </w:rPr>
  </w:style>
  <w:style w:type="paragraph" w:styleId="997">
    <w:name w:val="Body Text 3"/>
    <w:basedOn w:val="773"/>
    <w:pPr>
      <w:spacing w:before="120"/>
      <w:tabs>
        <w:tab w:val="left" w:pos="7371" w:leader="none"/>
      </w:tabs>
    </w:pPr>
    <w:rPr>
      <w:sz w:val="28"/>
    </w:rPr>
  </w:style>
  <w:style w:type="paragraph" w:styleId="998">
    <w:name w:val="Balloon Text"/>
    <w:basedOn w:val="773"/>
    <w:link w:val="999"/>
    <w:uiPriority w:val="99"/>
    <w:semiHidden/>
    <w:unhideWhenUsed/>
    <w:rPr>
      <w:rFonts w:ascii="Tahoma" w:hAnsi="Tahoma"/>
      <w:sz w:val="16"/>
      <w:szCs w:val="16"/>
    </w:rPr>
  </w:style>
  <w:style w:type="character" w:styleId="999" w:customStyle="1">
    <w:name w:val="Текст выноски Знак"/>
    <w:link w:val="998"/>
    <w:uiPriority w:val="99"/>
    <w:semiHidden/>
    <w:rPr>
      <w:rFonts w:ascii="Tahoma" w:hAnsi="Tahoma" w:cs="Tahoma"/>
      <w:sz w:val="16"/>
      <w:szCs w:val="16"/>
    </w:rPr>
  </w:style>
  <w:style w:type="paragraph" w:styleId="1000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1001">
    <w:name w:val="Body Text Indent"/>
    <w:basedOn w:val="773"/>
    <w:link w:val="1002"/>
    <w:uiPriority w:val="99"/>
    <w:semiHidden/>
    <w:unhideWhenUsed/>
    <w:pPr>
      <w:ind w:left="283"/>
      <w:spacing w:after="120"/>
    </w:pPr>
  </w:style>
  <w:style w:type="character" w:styleId="1002" w:customStyle="1">
    <w:name w:val="Основной текст с отступом Знак"/>
    <w:link w:val="1001"/>
    <w:uiPriority w:val="99"/>
    <w:semiHidden/>
    <w:rPr>
      <w:sz w:val="22"/>
      <w:szCs w:val="22"/>
      <w:lang w:eastAsia="en-US" w:bidi="en-US"/>
    </w:rPr>
  </w:style>
  <w:style w:type="paragraph" w:styleId="1003" w:customStyle="1">
    <w:name w:val="Заголовок 11"/>
    <w:basedOn w:val="848"/>
    <w:next w:val="848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1004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1005" w:customStyle="1">
    <w:name w:val="Исполнитель"/>
    <w:basedOn w:val="773"/>
    <w:pPr>
      <w:ind w:left="-10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4"/>
    </w:rPr>
  </w:style>
  <w:style w:type="character" w:styleId="1006">
    <w:name w:val="Emphasis"/>
    <w:basedOn w:val="783"/>
    <w:uiPriority w:val="20"/>
    <w:qFormat/>
    <w:rPr>
      <w:i/>
      <w:iCs/>
    </w:rPr>
  </w:style>
  <w:style w:type="paragraph" w:styleId="1007" w:customStyle="1">
    <w:name w:val="ConsPlusNonformat"/>
    <w:uiPriority w:val="99"/>
    <w:pPr>
      <w:widowControl w:val="off"/>
    </w:pPr>
    <w:rPr>
      <w:rFonts w:ascii="Courier New" w:hAnsi="Courier New" w:cs="Courier New" w:eastAsiaTheme="minorEastAsia"/>
      <w:szCs w:val="22"/>
    </w:rPr>
  </w:style>
  <w:style w:type="table" w:styleId="1008" w:customStyle="1">
    <w:name w:val="Сетка таблицы1"/>
    <w:basedOn w:val="784"/>
    <w:next w:val="850"/>
    <w:uiPriority w:val="3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09" w:customStyle="1">
    <w:name w:val="formattext"/>
    <w:basedOn w:val="773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10" w:customStyle="1">
    <w:name w:val="headertext"/>
    <w:basedOn w:val="773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11" w:customStyle="1">
    <w:name w:val="docdata"/>
    <w:basedOn w:val="773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1012">
    <w:name w:val="Normal (Web)"/>
    <w:basedOn w:val="773"/>
    <w:uiPriority w:val="99"/>
    <w:semiHidden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hyperlink" Target="https://login.consultant.ru/link/?req=doc&amp;base=RLAW091&amp;n=197585&amp;dst=100024" TargetMode="External"/><Relationship Id="rId17" Type="http://schemas.openxmlformats.org/officeDocument/2006/relationships/hyperlink" Target="https://login.consultant.ru/link/?req=doc&amp;base=RLAW091&amp;n=198265&amp;dst=100009" TargetMode="External"/><Relationship Id="rId18" Type="http://schemas.openxmlformats.org/officeDocument/2006/relationships/hyperlink" Target="mailto:mandrakovasa@dgr.tomsk.gov.ru" TargetMode="External"/><Relationship Id="rId19" Type="http://schemas.openxmlformats.org/officeDocument/2006/relationships/hyperlink" Target="https://www.gosuslugi.ru" TargetMode="External"/><Relationship Id="rId20" Type="http://schemas.openxmlformats.org/officeDocument/2006/relationships/hyperlink" Target="https://md.tomsk.ru" TargetMode="External"/><Relationship Id="rId21" Type="http://schemas.openxmlformats.org/officeDocument/2006/relationships/hyperlink" Target="https://dgr.tomsk.gov.ru" TargetMode="External"/><Relationship Id="rId22" Type="http://schemas.openxmlformats.org/officeDocument/2006/relationships/hyperlink" Target="https://dgr.tomsk.gov.ru" TargetMode="External"/><Relationship Id="rId23" Type="http://schemas.openxmlformats.org/officeDocument/2006/relationships/hyperlink" Target="https://md.tomsk.ru" TargetMode="External"/><Relationship Id="rId24" Type="http://schemas.openxmlformats.org/officeDocument/2006/relationships/hyperlink" Target="file:///\\192.168.219.14\ok\&#1052;&#1072;&#1085;&#1076;&#1088;&#1072;&#1082;&#1086;&#1074;&#1072;\&#1040;&#1044;&#1052;&#1048;&#1053;&#1048;&#1057;&#1058;&#1056;&#1040;&#1058;&#1048;&#1042;&#1053;&#1067;&#1045;%20&#1056;&#1045;&#1043;&#1051;&#1040;&#1052;&#1045;&#1053;&#1058;&#1067;%20&#1080;%20&#1048;&#1047;&#1052;&#1045;&#1053;&#1045;&#1053;&#1048;&#1071;%20&#1074;%20&#1040;&#1056;\&#1087;&#1086;%20&#1053;&#1057;&#1055;&#1044;%2046,35,48,44\www.gosuslugi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B8934-163F-44ED-9FF3-68E1BDA88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mandrakovas</cp:lastModifiedBy>
  <cp:revision>5</cp:revision>
  <dcterms:created xsi:type="dcterms:W3CDTF">2026-05-26T02:32:00Z</dcterms:created>
  <dcterms:modified xsi:type="dcterms:W3CDTF">2026-05-28T04:05:04Z</dcterms:modified>
</cp:coreProperties>
</file>